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6E31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 w:val="0"/>
          <w:bCs w:val="0"/>
          <w:color w:val="000000"/>
          <w:kern w:val="0"/>
          <w:sz w:val="36"/>
          <w:szCs w:val="36"/>
          <w:highlight w:val="none"/>
          <w:lang w:val="en-US" w:eastAsia="zh-CN" w:bidi="ar"/>
        </w:rPr>
      </w:pPr>
      <w:r>
        <w:rPr>
          <w:rFonts w:hint="eastAsia" w:ascii="方正小标宋简体" w:hAnsi="方正小标宋简体" w:eastAsia="方正小标宋简体" w:cs="方正小标宋简体"/>
          <w:b w:val="0"/>
          <w:bCs w:val="0"/>
          <w:color w:val="000000"/>
          <w:kern w:val="0"/>
          <w:sz w:val="36"/>
          <w:szCs w:val="36"/>
          <w:highlight w:val="none"/>
          <w:lang w:val="en-US" w:eastAsia="zh-CN" w:bidi="ar"/>
        </w:rPr>
        <w:t>“未来科学节·AI生活-机器人嘉年华”活动</w:t>
      </w:r>
    </w:p>
    <w:p w14:paraId="4E8C95E2">
      <w:pPr>
        <w:pStyle w:val="14"/>
        <w:widowControl/>
        <w:rPr>
          <w:highlight w:val="none"/>
        </w:rPr>
      </w:pPr>
      <w:r>
        <w:rPr>
          <w:highlight w:val="none"/>
        </w:rPr>
        <w:t>“智能垃圾分类”项目介绍</w:t>
      </w:r>
    </w:p>
    <w:p w14:paraId="2973B2CF">
      <w:pPr>
        <w:pStyle w:val="11"/>
        <w:spacing w:before="89" w:line="227" w:lineRule="auto"/>
        <w:ind w:left="2916"/>
        <w:outlineLvl w:val="9"/>
        <w:rPr>
          <w:sz w:val="43"/>
          <w:szCs w:val="43"/>
          <w:highlight w:val="none"/>
        </w:rPr>
      </w:pPr>
    </w:p>
    <w:p w14:paraId="6F888B5C">
      <w:pPr>
        <w:pStyle w:val="11"/>
        <w:spacing w:before="89" w:line="227" w:lineRule="auto"/>
        <w:ind w:left="2916"/>
        <w:outlineLvl w:val="9"/>
        <w:rPr>
          <w:sz w:val="43"/>
          <w:szCs w:val="43"/>
          <w:highlight w:val="none"/>
        </w:rPr>
      </w:pPr>
    </w:p>
    <w:p w14:paraId="560771B0">
      <w:pPr>
        <w:pStyle w:val="2"/>
        <w:numPr>
          <w:ilvl w:val="0"/>
          <w:numId w:val="1"/>
        </w:numPr>
        <w:topLinePunct w:val="0"/>
        <w:ind w:left="0" w:leftChars="0" w:firstLine="640" w:firstLineChars="0"/>
        <w:rPr>
          <w:b w:val="0"/>
          <w:highlight w:val="none"/>
        </w:rPr>
      </w:pPr>
      <w:r>
        <w:rPr>
          <w:highlight w:val="none"/>
        </w:rPr>
        <w:t>参与范围</w:t>
      </w:r>
    </w:p>
    <w:p w14:paraId="52A011FB">
      <w:pPr>
        <w:pStyle w:val="11"/>
        <w:numPr>
          <w:ilvl w:val="0"/>
          <w:numId w:val="2"/>
        </w:numPr>
        <w:topLinePunct w:val="0"/>
        <w:ind w:left="0" w:leftChars="0" w:firstLine="640" w:firstLineChars="0"/>
        <w:rPr>
          <w:highlight w:val="none"/>
        </w:rPr>
      </w:pPr>
      <w:r>
        <w:rPr>
          <w:highlight w:val="none"/>
        </w:rPr>
        <w:t>阶段：6-9岁</w:t>
      </w:r>
    </w:p>
    <w:p w14:paraId="6739CF87">
      <w:pPr>
        <w:pStyle w:val="11"/>
        <w:numPr>
          <w:ilvl w:val="0"/>
          <w:numId w:val="2"/>
        </w:numPr>
        <w:topLinePunct w:val="0"/>
        <w:ind w:left="0" w:leftChars="0" w:firstLine="640" w:firstLineChars="0"/>
        <w:rPr>
          <w:highlight w:val="none"/>
        </w:rPr>
      </w:pPr>
      <w:r>
        <w:rPr>
          <w:highlight w:val="none"/>
        </w:rPr>
        <w:t>人数：项目为单人</w:t>
      </w:r>
      <w:r>
        <w:rPr>
          <w:rFonts w:hint="eastAsia"/>
          <w:highlight w:val="none"/>
          <w:lang w:val="en-US" w:eastAsia="zh-CN"/>
        </w:rPr>
        <w:t>活动</w:t>
      </w:r>
      <w:r>
        <w:rPr>
          <w:highlight w:val="none"/>
        </w:rPr>
        <w:t>，每队1名选手。</w:t>
      </w:r>
    </w:p>
    <w:p w14:paraId="6D99E616">
      <w:pPr>
        <w:pStyle w:val="11"/>
        <w:numPr>
          <w:ilvl w:val="0"/>
          <w:numId w:val="2"/>
        </w:numPr>
        <w:topLinePunct w:val="0"/>
        <w:ind w:left="0" w:leftChars="0" w:firstLine="640" w:firstLineChars="0"/>
        <w:rPr>
          <w:highlight w:val="none"/>
        </w:rPr>
      </w:pPr>
      <w:r>
        <w:rPr>
          <w:highlight w:val="none"/>
        </w:rPr>
        <w:t>指导员：</w:t>
      </w:r>
      <w:r>
        <w:rPr>
          <w:highlight w:val="none"/>
        </w:rPr>
        <w:t>每队1名指导员。</w:t>
      </w:r>
    </w:p>
    <w:p w14:paraId="1498BBD6">
      <w:pPr>
        <w:pStyle w:val="2"/>
        <w:numPr>
          <w:ilvl w:val="0"/>
          <w:numId w:val="1"/>
        </w:numPr>
        <w:topLinePunct w:val="0"/>
        <w:ind w:left="0" w:leftChars="0" w:firstLine="640" w:firstLineChars="0"/>
        <w:rPr>
          <w:b w:val="0"/>
          <w:highlight w:val="none"/>
        </w:rPr>
      </w:pPr>
      <w:r>
        <w:rPr>
          <w:highlight w:val="none"/>
        </w:rPr>
        <w:t>活动主题</w:t>
      </w:r>
    </w:p>
    <w:p w14:paraId="29A15D55">
      <w:pPr>
        <w:pStyle w:val="11"/>
        <w:rPr>
          <w:color w:val="000000"/>
          <w:highlight w:val="none"/>
        </w:rPr>
      </w:pPr>
      <w:r>
        <w:rPr>
          <w:color w:val="000000"/>
          <w:highlight w:val="none"/>
        </w:rPr>
        <w:t>垃圾分类，指按一定规定或标准将垃圾分类投放、分类储存和分类搬运，从而转变成公共资源的一系列活动的总称。分类的目的是减少土地资源消耗、降低环境污染、提高垃圾的资源价值和经济价值，力争物尽其用。加快推进生活垃圾分类是加强生态文明建设、促进绿色发展的重要举措，有利于增强人民群众获得感、幸福感和安全感，有利于打造共建共治共享的社会治理格局，有利于提高全社会文明程度。</w:t>
      </w:r>
    </w:p>
    <w:p w14:paraId="229DAE4F">
      <w:pPr>
        <w:pStyle w:val="2"/>
        <w:numPr>
          <w:ilvl w:val="0"/>
          <w:numId w:val="1"/>
        </w:numPr>
        <w:topLinePunct w:val="0"/>
        <w:ind w:left="0" w:leftChars="0" w:firstLine="640" w:firstLineChars="0"/>
        <w:rPr>
          <w:b w:val="0"/>
          <w:highlight w:val="none"/>
        </w:rPr>
      </w:pPr>
      <w:r>
        <w:rPr>
          <w:highlight w:val="none"/>
        </w:rPr>
        <w:t>活动场地</w:t>
      </w:r>
    </w:p>
    <w:p w14:paraId="3D6FBF17">
      <w:pPr>
        <w:pStyle w:val="11"/>
        <w:widowControl/>
        <w:rPr>
          <w:color w:val="000000"/>
          <w:highlight w:val="none"/>
        </w:rPr>
      </w:pPr>
      <w:r>
        <w:rPr>
          <w:color w:val="000000"/>
          <w:highlight w:val="none"/>
        </w:rPr>
        <w:t>活动场地由地图和任务模型组成，地图示例如图1。</w:t>
      </w:r>
    </w:p>
    <w:p w14:paraId="527C85F6">
      <w:pPr>
        <w:pStyle w:val="11"/>
        <w:rPr>
          <w:highlight w:val="none"/>
        </w:rPr>
      </w:pPr>
      <w:r>
        <w:rPr>
          <w:highlight w:val="none"/>
        </w:rPr>
        <w:t>地图为一张尺寸为1500×1500cm的彩色喷绘布。</w:t>
      </w:r>
    </w:p>
    <w:p w14:paraId="4331871A">
      <w:pPr>
        <w:pStyle w:val="11"/>
        <w:spacing w:before="205" w:line="240" w:lineRule="auto"/>
        <w:jc w:val="center"/>
        <w:rPr>
          <w:rFonts w:hint="eastAsia" w:ascii="仿宋" w:hAnsi="仿宋" w:eastAsia="仿宋" w:cs="Times New Roman"/>
          <w:snapToGrid/>
          <w:color w:val="auto"/>
          <w:kern w:val="2"/>
          <w:sz w:val="32"/>
          <w:szCs w:val="32"/>
          <w:highlight w:val="none"/>
          <w:lang w:val="en-US" w:eastAsia="zh-CN" w:bidi="ar-SA"/>
        </w:rPr>
      </w:pPr>
      <w:r>
        <w:rPr>
          <w:rFonts w:hint="eastAsia" w:ascii="仿宋" w:hAnsi="仿宋" w:eastAsia="仿宋" w:cs="Times New Roman"/>
          <w:snapToGrid/>
          <w:color w:val="auto"/>
          <w:kern w:val="2"/>
          <w:sz w:val="32"/>
          <w:szCs w:val="32"/>
          <w:highlight w:val="none"/>
          <w:lang w:val="en-US" w:eastAsia="zh-CN" w:bidi="ar-SA"/>
        </w:rPr>
        <w:drawing>
          <wp:inline distT="0" distB="0" distL="114300" distR="114300">
            <wp:extent cx="3705860" cy="3705860"/>
            <wp:effectExtent l="0" t="0" r="8890" b="8890"/>
            <wp:docPr id="9" name="图片 9" descr="垃圾分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垃圾分类图"/>
                    <pic:cNvPicPr>
                      <a:picLocks noChangeAspect="1"/>
                    </pic:cNvPicPr>
                  </pic:nvPicPr>
                  <pic:blipFill>
                    <a:blip r:embed="rId8"/>
                    <a:stretch>
                      <a:fillRect/>
                    </a:stretch>
                  </pic:blipFill>
                  <pic:spPr>
                    <a:xfrm>
                      <a:off x="0" y="0"/>
                      <a:ext cx="3705860" cy="3705860"/>
                    </a:xfrm>
                    <a:prstGeom prst="rect">
                      <a:avLst/>
                    </a:prstGeom>
                  </pic:spPr>
                </pic:pic>
              </a:graphicData>
            </a:graphic>
          </wp:inline>
        </w:drawing>
      </w:r>
    </w:p>
    <w:p w14:paraId="5CADC9B6">
      <w:pPr>
        <w:pStyle w:val="20"/>
        <w:widowControl/>
        <w:rPr>
          <w:highlight w:val="none"/>
        </w:rPr>
      </w:pPr>
      <w:r>
        <w:rPr>
          <w:highlight w:val="none"/>
        </w:rPr>
        <w:t>图1场地示范地图</w:t>
      </w:r>
    </w:p>
    <w:p w14:paraId="60BBC92C">
      <w:pPr>
        <w:pStyle w:val="2"/>
        <w:numPr>
          <w:ilvl w:val="0"/>
          <w:numId w:val="1"/>
        </w:numPr>
        <w:topLinePunct w:val="0"/>
        <w:ind w:left="0" w:leftChars="0" w:firstLine="640" w:firstLineChars="0"/>
        <w:rPr>
          <w:b w:val="0"/>
          <w:highlight w:val="none"/>
        </w:rPr>
      </w:pPr>
      <w:r>
        <w:rPr>
          <w:highlight w:val="none"/>
        </w:rPr>
        <w:t>机器人</w:t>
      </w:r>
    </w:p>
    <w:p w14:paraId="62D64CAE">
      <w:pPr>
        <w:pStyle w:val="11"/>
        <w:numPr>
          <w:ilvl w:val="0"/>
          <w:numId w:val="3"/>
        </w:numPr>
        <w:topLinePunct w:val="0"/>
        <w:ind w:left="0" w:leftChars="0" w:firstLine="640" w:firstLineChars="0"/>
        <w:rPr>
          <w:b w:val="0"/>
          <w:highlight w:val="none"/>
        </w:rPr>
      </w:pPr>
      <w:r>
        <w:rPr>
          <w:highlight w:val="none"/>
        </w:rPr>
        <w:t>机器人数量：1台。</w:t>
      </w:r>
    </w:p>
    <w:p w14:paraId="0B1D66FF">
      <w:pPr>
        <w:pStyle w:val="11"/>
        <w:numPr>
          <w:ilvl w:val="0"/>
          <w:numId w:val="3"/>
        </w:numPr>
        <w:topLinePunct w:val="0"/>
        <w:ind w:left="0" w:leftChars="0" w:firstLine="640" w:firstLineChars="0"/>
        <w:rPr>
          <w:b w:val="0"/>
          <w:highlight w:val="none"/>
        </w:rPr>
      </w:pPr>
      <w:r>
        <w:rPr>
          <w:highlight w:val="none"/>
        </w:rPr>
        <w:t>机器人在启动区内的最大尺寸为300mm长、300mm宽、300mm高。</w:t>
      </w:r>
    </w:p>
    <w:p w14:paraId="24523741">
      <w:pPr>
        <w:pStyle w:val="11"/>
        <w:numPr>
          <w:ilvl w:val="0"/>
          <w:numId w:val="3"/>
        </w:numPr>
        <w:topLinePunct w:val="0"/>
        <w:ind w:left="0" w:leftChars="0" w:firstLine="640" w:firstLineChars="0"/>
        <w:rPr>
          <w:b w:val="0"/>
          <w:highlight w:val="none"/>
        </w:rPr>
      </w:pPr>
      <w:r>
        <w:rPr>
          <w:highlight w:val="none"/>
        </w:rPr>
        <w:t>机器人必须使用塑料积木件搭建，不得使用螺丝、螺钉、铆钉、胶水、胶带、等辅助连接材料。</w:t>
      </w:r>
    </w:p>
    <w:p w14:paraId="330A7AD7">
      <w:pPr>
        <w:pStyle w:val="11"/>
        <w:numPr>
          <w:ilvl w:val="0"/>
          <w:numId w:val="3"/>
        </w:numPr>
        <w:topLinePunct w:val="0"/>
        <w:ind w:left="0" w:leftChars="0" w:firstLine="640" w:firstLineChars="0"/>
        <w:rPr>
          <w:rFonts w:hint="eastAsia" w:ascii="仿宋" w:hAnsi="仿宋" w:eastAsia="仿宋" w:cs="Times New Roman"/>
          <w:sz w:val="32"/>
          <w:szCs w:val="32"/>
          <w:highlight w:val="none"/>
        </w:rPr>
      </w:pPr>
      <w:r>
        <w:rPr>
          <w:highlight w:val="none"/>
        </w:rPr>
        <w:t>每台机器人必须自备独立电源，不得连接外部电源，自备电源电压不超过9V。</w:t>
      </w:r>
    </w:p>
    <w:p w14:paraId="5498B277">
      <w:pPr>
        <w:pStyle w:val="2"/>
        <w:numPr>
          <w:ilvl w:val="0"/>
          <w:numId w:val="1"/>
        </w:numPr>
        <w:topLinePunct w:val="0"/>
        <w:ind w:left="0" w:leftChars="0" w:firstLine="640" w:firstLineChars="0"/>
        <w:rPr>
          <w:b w:val="0"/>
          <w:highlight w:val="none"/>
        </w:rPr>
      </w:pPr>
      <w:r>
        <w:rPr>
          <w:highlight w:val="none"/>
        </w:rPr>
        <w:t>任务说明</w:t>
      </w:r>
    </w:p>
    <w:p w14:paraId="020D895F">
      <w:pPr>
        <w:pStyle w:val="11"/>
        <w:numPr>
          <w:ilvl w:val="0"/>
          <w:numId w:val="4"/>
        </w:numPr>
        <w:topLinePunct w:val="0"/>
        <w:ind w:left="0" w:leftChars="0" w:firstLine="640" w:firstLineChars="0"/>
        <w:rPr>
          <w:b w:val="0"/>
          <w:highlight w:val="none"/>
        </w:rPr>
      </w:pPr>
      <w:r>
        <w:rPr>
          <w:highlight w:val="none"/>
        </w:rPr>
        <w:t>本项目活动由参与队自行设计垃圾处理车机器人，单场活动时间为180秒。</w:t>
      </w:r>
    </w:p>
    <w:p w14:paraId="6CFC208D">
      <w:pPr>
        <w:pStyle w:val="11"/>
        <w:numPr>
          <w:ilvl w:val="0"/>
          <w:numId w:val="4"/>
        </w:numPr>
        <w:topLinePunct w:val="0"/>
        <w:ind w:left="0" w:leftChars="0" w:firstLine="640" w:firstLineChars="0"/>
        <w:rPr>
          <w:b w:val="0"/>
          <w:highlight w:val="none"/>
        </w:rPr>
      </w:pPr>
      <w:r>
        <w:rPr>
          <w:highlight w:val="none"/>
        </w:rPr>
        <w:t>参与队全程必须采用遥控的方式控制机器人完成各个任务。活动过程中不能使用红外、电磁波等方式干扰对手的遥控。</w:t>
      </w:r>
    </w:p>
    <w:p w14:paraId="5079458C">
      <w:pPr>
        <w:pStyle w:val="11"/>
        <w:numPr>
          <w:ilvl w:val="0"/>
          <w:numId w:val="4"/>
        </w:numPr>
        <w:topLinePunct w:val="0"/>
        <w:ind w:left="0" w:leftChars="0" w:firstLine="640" w:firstLineChars="0"/>
        <w:rPr>
          <w:b w:val="0"/>
          <w:highlight w:val="none"/>
        </w:rPr>
      </w:pPr>
      <w:r>
        <w:rPr>
          <w:rFonts w:hint="eastAsia"/>
          <w:highlight w:val="none"/>
          <w:lang w:val="en-US" w:eastAsia="zh-CN"/>
        </w:rPr>
        <w:t>任务细则</w:t>
      </w:r>
    </w:p>
    <w:p w14:paraId="0BD241AF">
      <w:pPr>
        <w:pStyle w:val="3"/>
        <w:numPr>
          <w:ilvl w:val="0"/>
          <w:numId w:val="5"/>
        </w:numPr>
        <w:ind w:left="0" w:leftChars="0" w:firstLine="640" w:firstLineChars="200"/>
        <w:rPr>
          <w:b w:val="0"/>
          <w:highlight w:val="none"/>
        </w:rPr>
      </w:pPr>
      <w:r>
        <w:rPr>
          <w:highlight w:val="none"/>
        </w:rPr>
        <w:t>厨余垃圾分类</w:t>
      </w:r>
    </w:p>
    <w:p w14:paraId="328DA604">
      <w:pPr>
        <w:pStyle w:val="11"/>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b w:val="0"/>
          <w:highlight w:val="none"/>
        </w:rPr>
      </w:pPr>
      <w:r>
        <w:rPr>
          <w:rFonts w:hint="eastAsia"/>
          <w:highlight w:val="none"/>
          <w:lang w:eastAsia="zh-CN"/>
        </w:rPr>
        <w:t>（</w:t>
      </w:r>
      <w:r>
        <w:rPr>
          <w:rFonts w:hint="eastAsia"/>
          <w:highlight w:val="none"/>
          <w:lang w:val="en-US" w:eastAsia="zh-CN"/>
        </w:rPr>
        <w:t>1</w:t>
      </w:r>
      <w:r>
        <w:rPr>
          <w:rFonts w:hint="eastAsia"/>
          <w:highlight w:val="none"/>
          <w:lang w:eastAsia="zh-CN"/>
        </w:rPr>
        <w:t>）</w:t>
      </w:r>
      <w:r>
        <w:rPr>
          <w:highlight w:val="none"/>
        </w:rPr>
        <w:t>活动开始前，参赛队员的机器人在启动区内待命，在启动区前放置一个厨余垃圾模型。</w:t>
      </w:r>
    </w:p>
    <w:p w14:paraId="44C559DD">
      <w:pPr>
        <w:pStyle w:val="11"/>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b w:val="0"/>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highlight w:val="none"/>
        </w:rPr>
        <w:t>活动开始后，垃圾处理车离开启动区前往城市道路。</w:t>
      </w:r>
    </w:p>
    <w:p w14:paraId="54ED93BC">
      <w:pPr>
        <w:pStyle w:val="11"/>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b w:val="0"/>
          <w:highlight w:val="none"/>
        </w:rPr>
      </w:pPr>
      <w:r>
        <w:rPr>
          <w:highlight w:val="none"/>
        </w:rPr>
        <w:t>垃圾处理车需将厨余垃圾模型放置在厨余垃圾分类区域内。</w:t>
      </w:r>
    </w:p>
    <w:p w14:paraId="22770854">
      <w:pPr>
        <w:pStyle w:val="11"/>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b w:val="0"/>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highlight w:val="none"/>
        </w:rPr>
        <w:t>厨余垃圾模型完全进入区域内，记20分；任意部位垂直投影压线、超出或未进入则不计分。</w:t>
      </w:r>
    </w:p>
    <w:p w14:paraId="72A08511">
      <w:pPr>
        <w:keepNext w:val="0"/>
        <w:keepLines w:val="0"/>
        <w:pageBreakBefore w:val="0"/>
        <w:widowControl w:val="0"/>
        <w:kinsoku/>
        <w:wordWrap/>
        <w:overflowPunct/>
        <w:topLinePunct w:val="0"/>
        <w:bidi w:val="0"/>
        <w:adjustRightInd/>
        <w:snapToGrid/>
        <w:spacing w:line="240" w:lineRule="auto"/>
        <w:jc w:val="left"/>
        <w:textAlignment w:val="auto"/>
        <w:rPr>
          <w:rFonts w:hint="eastAsia" w:ascii="仿宋" w:hAnsi="仿宋" w:eastAsia="仿宋" w:cs="Times New Roman"/>
          <w:sz w:val="32"/>
          <w:szCs w:val="32"/>
          <w:highlight w:val="none"/>
          <w:lang w:eastAsia="zh-CN"/>
        </w:rPr>
      </w:pPr>
      <w:r>
        <w:rPr>
          <w:rFonts w:hint="eastAsia" w:ascii="仿宋" w:hAnsi="仿宋" w:eastAsia="仿宋" w:cs="Times New Roman"/>
          <w:sz w:val="32"/>
          <w:szCs w:val="32"/>
          <w:highlight w:val="none"/>
          <w:lang w:eastAsia="zh-CN"/>
        </w:rPr>
        <w:drawing>
          <wp:inline distT="0" distB="0" distL="114300" distR="114300">
            <wp:extent cx="6181725" cy="1485900"/>
            <wp:effectExtent l="0" t="0" r="9525" b="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9"/>
                    <a:stretch>
                      <a:fillRect/>
                    </a:stretch>
                  </pic:blipFill>
                  <pic:spPr>
                    <a:xfrm>
                      <a:off x="0" y="0"/>
                      <a:ext cx="6181725" cy="1485900"/>
                    </a:xfrm>
                    <a:prstGeom prst="rect">
                      <a:avLst/>
                    </a:prstGeom>
                  </pic:spPr>
                </pic:pic>
              </a:graphicData>
            </a:graphic>
          </wp:inline>
        </w:drawing>
      </w:r>
    </w:p>
    <w:p w14:paraId="50322A7F">
      <w:pPr>
        <w:pStyle w:val="20"/>
        <w:widowControl/>
        <w:jc w:val="center"/>
        <w:rPr>
          <w:highlight w:val="none"/>
        </w:rPr>
      </w:pPr>
      <w:r>
        <w:rPr>
          <w:highlight w:val="none"/>
        </w:rPr>
        <w:t>图2厨余垃圾模型在厨余垃圾分类区域的几种状态</w:t>
      </w:r>
    </w:p>
    <w:p w14:paraId="1A236788">
      <w:pPr>
        <w:pStyle w:val="11"/>
        <w:keepNext w:val="0"/>
        <w:keepLines w:val="0"/>
        <w:pageBreakBefore w:val="0"/>
        <w:widowControl/>
        <w:kinsoku w:val="0"/>
        <w:wordWrap/>
        <w:overflowPunct/>
        <w:topLinePunct w:val="0"/>
        <w:autoSpaceDE w:val="0"/>
        <w:autoSpaceDN w:val="0"/>
        <w:bidi w:val="0"/>
        <w:adjustRightInd w:val="0"/>
        <w:snapToGrid w:val="0"/>
        <w:spacing w:before="37" w:line="219" w:lineRule="auto"/>
        <w:ind w:left="0"/>
        <w:jc w:val="left"/>
        <w:textAlignment w:val="baseline"/>
        <w:rPr>
          <w:rFonts w:hint="eastAsia" w:ascii="仿宋" w:hAnsi="仿宋" w:eastAsia="仿宋" w:cs="Times New Roman"/>
          <w:snapToGrid w:val="0"/>
          <w:color w:val="000000"/>
          <w:kern w:val="0"/>
          <w:sz w:val="30"/>
          <w:szCs w:val="30"/>
          <w:highlight w:val="none"/>
          <w:lang w:val="en-US" w:eastAsia="en-US" w:bidi="ar-SA"/>
        </w:rPr>
      </w:pPr>
    </w:p>
    <w:p w14:paraId="65DBCA1D">
      <w:pPr>
        <w:pStyle w:val="3"/>
        <w:numPr>
          <w:ilvl w:val="0"/>
          <w:numId w:val="5"/>
        </w:numPr>
        <w:ind w:left="0" w:leftChars="0" w:firstLine="640" w:firstLineChars="200"/>
        <w:jc w:val="left"/>
        <w:rPr>
          <w:highlight w:val="none"/>
        </w:rPr>
      </w:pPr>
      <w:r>
        <w:rPr>
          <w:highlight w:val="none"/>
        </w:rPr>
        <w:t>有害垃圾分类</w:t>
      </w:r>
    </w:p>
    <w:p w14:paraId="666FA5CD">
      <w:pPr>
        <w:pStyle w:val="11"/>
        <w:numPr>
          <w:ilvl w:val="0"/>
          <w:numId w:val="6"/>
        </w:numPr>
        <w:jc w:val="left"/>
        <w:rPr>
          <w:rFonts w:hint="eastAsia"/>
          <w:highlight w:val="none"/>
          <w:lang w:eastAsia="zh-CN"/>
        </w:rPr>
      </w:pPr>
      <w:r>
        <w:rPr>
          <w:rFonts w:hint="eastAsia"/>
          <w:highlight w:val="none"/>
          <w:lang w:eastAsia="zh-CN"/>
        </w:rPr>
        <w:t>散落在场地各个区域的有害垃圾模型有6个。</w:t>
      </w:r>
    </w:p>
    <w:p w14:paraId="7DDEF626">
      <w:pPr>
        <w:pStyle w:val="11"/>
        <w:numPr>
          <w:ilvl w:val="0"/>
          <w:numId w:val="6"/>
        </w:numPr>
        <w:jc w:val="left"/>
        <w:rPr>
          <w:rFonts w:hint="eastAsia"/>
          <w:highlight w:val="none"/>
          <w:lang w:eastAsia="zh-CN"/>
        </w:rPr>
      </w:pPr>
      <w:r>
        <w:rPr>
          <w:rFonts w:hint="eastAsia"/>
          <w:highlight w:val="none"/>
          <w:lang w:eastAsia="zh-CN"/>
        </w:rPr>
        <w:t>垃圾处理车需要将散落在场地内的有害垃圾模型放置在有害垃圾分类区域。</w:t>
      </w:r>
    </w:p>
    <w:p w14:paraId="3E923784">
      <w:pPr>
        <w:pStyle w:val="11"/>
        <w:numPr>
          <w:ilvl w:val="0"/>
          <w:numId w:val="6"/>
        </w:numPr>
        <w:jc w:val="left"/>
        <w:rPr>
          <w:rFonts w:hint="eastAsia"/>
          <w:highlight w:val="none"/>
          <w:lang w:eastAsia="zh-CN"/>
        </w:rPr>
      </w:pPr>
      <w:r>
        <w:rPr>
          <w:rFonts w:hint="eastAsia"/>
          <w:highlight w:val="none"/>
          <w:lang w:eastAsia="zh-CN"/>
        </w:rPr>
        <w:t>有害垃圾模型任意部位垂直投影接触分类区则视为成功放置一个，记5分，超出或未进入则不计分。</w:t>
      </w:r>
    </w:p>
    <w:p w14:paraId="3FBB3344">
      <w:pPr>
        <w:keepNext w:val="0"/>
        <w:keepLines w:val="0"/>
        <w:pageBreakBefore w:val="0"/>
        <w:widowControl w:val="0"/>
        <w:kinsoku/>
        <w:wordWrap/>
        <w:overflowPunct/>
        <w:topLinePunct w:val="0"/>
        <w:bidi w:val="0"/>
        <w:adjustRightInd/>
        <w:snapToGrid/>
        <w:spacing w:line="240" w:lineRule="auto"/>
        <w:jc w:val="left"/>
        <w:textAlignment w:val="auto"/>
        <w:rPr>
          <w:rFonts w:hint="eastAsia" w:ascii="仿宋" w:hAnsi="仿宋" w:eastAsia="仿宋" w:cs="Times New Roman"/>
          <w:sz w:val="32"/>
          <w:szCs w:val="32"/>
          <w:highlight w:val="none"/>
        </w:rPr>
      </w:pPr>
      <w:r>
        <w:rPr>
          <w:rFonts w:hint="eastAsia" w:ascii="仿宋" w:hAnsi="仿宋" w:eastAsia="仿宋" w:cs="Times New Roman"/>
          <w:sz w:val="32"/>
          <w:szCs w:val="32"/>
          <w:highlight w:val="none"/>
          <w:lang w:eastAsia="zh-CN"/>
        </w:rPr>
        <w:drawing>
          <wp:inline distT="0" distB="0" distL="114300" distR="114300">
            <wp:extent cx="6194425" cy="1667510"/>
            <wp:effectExtent l="0" t="0" r="15875" b="8890"/>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10"/>
                    <a:stretch>
                      <a:fillRect/>
                    </a:stretch>
                  </pic:blipFill>
                  <pic:spPr>
                    <a:xfrm>
                      <a:off x="0" y="0"/>
                      <a:ext cx="6194425" cy="1667510"/>
                    </a:xfrm>
                    <a:prstGeom prst="rect">
                      <a:avLst/>
                    </a:prstGeom>
                  </pic:spPr>
                </pic:pic>
              </a:graphicData>
            </a:graphic>
          </wp:inline>
        </w:drawing>
      </w:r>
    </w:p>
    <w:p w14:paraId="08CBE685">
      <w:pPr>
        <w:pStyle w:val="20"/>
        <w:widowControl/>
        <w:rPr>
          <w:rFonts w:hint="eastAsia" w:ascii="仿宋" w:hAnsi="仿宋" w:eastAsia="仿宋" w:cs="Times New Roman"/>
          <w:snapToGrid w:val="0"/>
          <w:color w:val="000000"/>
          <w:kern w:val="0"/>
          <w:sz w:val="30"/>
          <w:szCs w:val="30"/>
          <w:highlight w:val="none"/>
          <w:lang w:val="en-US" w:eastAsia="en-US" w:bidi="ar-SA"/>
        </w:rPr>
      </w:pPr>
      <w:r>
        <w:rPr>
          <w:highlight w:val="none"/>
        </w:rPr>
        <w:t>图3有害垃圾模型在有害垃圾分类区域的几种状态</w:t>
      </w:r>
    </w:p>
    <w:p w14:paraId="014E2C45">
      <w:pPr>
        <w:pStyle w:val="11"/>
        <w:keepNext w:val="0"/>
        <w:keepLines w:val="0"/>
        <w:pageBreakBefore w:val="0"/>
        <w:widowControl/>
        <w:kinsoku w:val="0"/>
        <w:wordWrap/>
        <w:overflowPunct/>
        <w:topLinePunct w:val="0"/>
        <w:autoSpaceDE w:val="0"/>
        <w:autoSpaceDN w:val="0"/>
        <w:bidi w:val="0"/>
        <w:adjustRightInd w:val="0"/>
        <w:snapToGrid w:val="0"/>
        <w:spacing w:before="37" w:line="219" w:lineRule="auto"/>
        <w:ind w:left="0"/>
        <w:jc w:val="center"/>
        <w:textAlignment w:val="baseline"/>
        <w:rPr>
          <w:rFonts w:hint="eastAsia" w:ascii="仿宋" w:hAnsi="仿宋" w:eastAsia="仿宋" w:cs="Times New Roman"/>
          <w:snapToGrid w:val="0"/>
          <w:color w:val="000000"/>
          <w:kern w:val="0"/>
          <w:sz w:val="30"/>
          <w:szCs w:val="30"/>
          <w:highlight w:val="none"/>
          <w:lang w:val="en-US" w:eastAsia="en-US" w:bidi="ar-SA"/>
        </w:rPr>
      </w:pPr>
    </w:p>
    <w:p w14:paraId="7B9102F3">
      <w:pPr>
        <w:pStyle w:val="3"/>
        <w:numPr>
          <w:ilvl w:val="0"/>
          <w:numId w:val="5"/>
        </w:numPr>
        <w:ind w:left="0" w:leftChars="0" w:firstLine="640" w:firstLineChars="200"/>
        <w:rPr>
          <w:highlight w:val="none"/>
        </w:rPr>
      </w:pPr>
      <w:r>
        <w:rPr>
          <w:highlight w:val="none"/>
        </w:rPr>
        <w:t>可回收垃圾分类</w:t>
      </w:r>
    </w:p>
    <w:p w14:paraId="778A176B">
      <w:pPr>
        <w:pStyle w:val="11"/>
        <w:numPr>
          <w:ilvl w:val="0"/>
          <w:numId w:val="7"/>
        </w:numPr>
        <w:jc w:val="left"/>
        <w:rPr>
          <w:rFonts w:hint="eastAsia"/>
          <w:highlight w:val="none"/>
          <w:lang w:eastAsia="zh-CN"/>
        </w:rPr>
      </w:pPr>
      <w:r>
        <w:rPr>
          <w:rFonts w:hint="eastAsia"/>
          <w:highlight w:val="none"/>
          <w:lang w:eastAsia="zh-CN"/>
        </w:rPr>
        <w:t>回收中心分别放置有两种颜色共计8个的可回收垃圾模型。垃圾处理车需要从回收中心获取可回收垃圾模型，并将其放置在可回收垃圾分类区域。</w:t>
      </w:r>
    </w:p>
    <w:p w14:paraId="14BB4CFC">
      <w:pPr>
        <w:pStyle w:val="11"/>
        <w:numPr>
          <w:ilvl w:val="0"/>
          <w:numId w:val="7"/>
        </w:numPr>
        <w:jc w:val="left"/>
        <w:rPr>
          <w:rFonts w:hint="eastAsia"/>
          <w:highlight w:val="none"/>
          <w:lang w:eastAsia="zh-CN"/>
        </w:rPr>
      </w:pPr>
      <w:r>
        <w:rPr>
          <w:rFonts w:hint="eastAsia"/>
          <w:highlight w:val="none"/>
          <w:lang w:eastAsia="zh-CN"/>
        </w:rPr>
        <w:t>垃圾处理车将可回收垃圾模型放置在分类区域内，可回收垃圾模型任意部位与分类区域接触即可。</w:t>
      </w:r>
    </w:p>
    <w:p w14:paraId="74D7B9CF">
      <w:pPr>
        <w:pStyle w:val="11"/>
        <w:numPr>
          <w:ilvl w:val="0"/>
          <w:numId w:val="7"/>
        </w:numPr>
        <w:jc w:val="left"/>
        <w:rPr>
          <w:rFonts w:hint="eastAsia"/>
          <w:highlight w:val="none"/>
          <w:lang w:eastAsia="zh-CN"/>
        </w:rPr>
      </w:pPr>
      <w:r>
        <w:rPr>
          <w:rFonts w:hint="eastAsia"/>
          <w:highlight w:val="none"/>
          <w:lang w:eastAsia="zh-CN"/>
        </w:rPr>
        <w:t>可回收区域内的模型数量越多得分越高，允许叠放，两个组件为一组，每组成一对不同颜色的模型，得10分。</w:t>
      </w:r>
    </w:p>
    <w:p w14:paraId="5D81B833">
      <w:pPr>
        <w:keepNext w:val="0"/>
        <w:keepLines w:val="0"/>
        <w:pageBreakBefore w:val="0"/>
        <w:widowControl w:val="0"/>
        <w:kinsoku/>
        <w:wordWrap/>
        <w:overflowPunct/>
        <w:topLinePunct w:val="0"/>
        <w:bidi w:val="0"/>
        <w:adjustRightInd/>
        <w:snapToGrid/>
        <w:spacing w:line="240" w:lineRule="auto"/>
        <w:jc w:val="left"/>
        <w:textAlignment w:val="auto"/>
        <w:rPr>
          <w:rFonts w:hint="eastAsia" w:ascii="仿宋" w:hAnsi="仿宋" w:eastAsia="仿宋" w:cs="Times New Roman"/>
          <w:b/>
          <w:bCs/>
          <w:sz w:val="32"/>
          <w:szCs w:val="32"/>
          <w:highlight w:val="none"/>
          <w:lang w:val="en-US" w:eastAsia="zh-CN"/>
        </w:rPr>
      </w:pPr>
      <w:r>
        <w:rPr>
          <w:rFonts w:hint="eastAsia" w:ascii="仿宋" w:hAnsi="仿宋" w:eastAsia="仿宋" w:cs="Times New Roman"/>
          <w:b/>
          <w:bCs/>
          <w:sz w:val="32"/>
          <w:szCs w:val="32"/>
          <w:highlight w:val="none"/>
          <w:lang w:val="en-US" w:eastAsia="zh-CN"/>
        </w:rPr>
        <w:drawing>
          <wp:inline distT="0" distB="0" distL="114300" distR="114300">
            <wp:extent cx="6200775" cy="3253105"/>
            <wp:effectExtent l="0" t="0" r="9525" b="4445"/>
            <wp:docPr id="4" name="图片 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3"/>
                    <pic:cNvPicPr>
                      <a:picLocks noChangeAspect="1"/>
                    </pic:cNvPicPr>
                  </pic:nvPicPr>
                  <pic:blipFill>
                    <a:blip r:embed="rId11"/>
                    <a:stretch>
                      <a:fillRect/>
                    </a:stretch>
                  </pic:blipFill>
                  <pic:spPr>
                    <a:xfrm>
                      <a:off x="0" y="0"/>
                      <a:ext cx="6200775" cy="3253105"/>
                    </a:xfrm>
                    <a:prstGeom prst="rect">
                      <a:avLst/>
                    </a:prstGeom>
                  </pic:spPr>
                </pic:pic>
              </a:graphicData>
            </a:graphic>
          </wp:inline>
        </w:drawing>
      </w:r>
    </w:p>
    <w:p w14:paraId="34C59773">
      <w:pPr>
        <w:pStyle w:val="20"/>
        <w:widowControl/>
        <w:rPr>
          <w:highlight w:val="none"/>
        </w:rPr>
      </w:pPr>
      <w:r>
        <w:rPr>
          <w:highlight w:val="none"/>
        </w:rPr>
        <w:t>图4可回收垃圾模型在可回收分类区域的几种状态及得分关系</w:t>
      </w:r>
    </w:p>
    <w:p w14:paraId="0119095A">
      <w:pPr>
        <w:pStyle w:val="11"/>
        <w:spacing w:before="37" w:line="219" w:lineRule="auto"/>
        <w:jc w:val="center"/>
        <w:rPr>
          <w:rFonts w:hint="eastAsia" w:ascii="仿宋" w:hAnsi="仿宋" w:eastAsia="仿宋" w:cs="Times New Roman"/>
          <w:snapToGrid w:val="0"/>
          <w:color w:val="000000"/>
          <w:kern w:val="0"/>
          <w:sz w:val="30"/>
          <w:szCs w:val="30"/>
          <w:highlight w:val="none"/>
          <w:lang w:val="en-US" w:eastAsia="en-US" w:bidi="ar-SA"/>
        </w:rPr>
      </w:pPr>
    </w:p>
    <w:p w14:paraId="0F8AA9AC">
      <w:pPr>
        <w:pStyle w:val="3"/>
        <w:numPr>
          <w:ilvl w:val="0"/>
          <w:numId w:val="5"/>
        </w:numPr>
        <w:ind w:left="0" w:leftChars="0" w:firstLine="640" w:firstLineChars="200"/>
        <w:rPr>
          <w:highlight w:val="none"/>
        </w:rPr>
      </w:pPr>
      <w:r>
        <w:rPr>
          <w:highlight w:val="none"/>
        </w:rPr>
        <w:t>重返启动区</w:t>
      </w:r>
    </w:p>
    <w:p w14:paraId="571D200A">
      <w:pPr>
        <w:pStyle w:val="11"/>
        <w:numPr>
          <w:ilvl w:val="0"/>
          <w:numId w:val="8"/>
        </w:numPr>
        <w:jc w:val="left"/>
        <w:rPr>
          <w:rFonts w:hint="eastAsia"/>
          <w:highlight w:val="none"/>
          <w:lang w:eastAsia="zh-CN"/>
        </w:rPr>
      </w:pPr>
      <w:r>
        <w:rPr>
          <w:rFonts w:hint="eastAsia"/>
          <w:highlight w:val="none"/>
          <w:lang w:eastAsia="zh-CN"/>
        </w:rPr>
        <w:t>在计时结束前，垃圾处理车需要返回启动区。进入启动区的垃圾处理车在地面的垂直投影接触启动区域即完成了重返启动区任务。</w:t>
      </w:r>
    </w:p>
    <w:p w14:paraId="14E05635">
      <w:pPr>
        <w:pStyle w:val="11"/>
        <w:numPr>
          <w:ilvl w:val="0"/>
          <w:numId w:val="8"/>
        </w:numPr>
        <w:jc w:val="left"/>
        <w:rPr>
          <w:b w:val="0"/>
          <w:highlight w:val="none"/>
        </w:rPr>
      </w:pPr>
      <w:r>
        <w:rPr>
          <w:rFonts w:hint="eastAsia"/>
          <w:highlight w:val="none"/>
          <w:lang w:eastAsia="zh-CN"/>
        </w:rPr>
        <w:t>垃圾处理车的垂直投影完全进入启动区，每台记20分；任意部位垂直投影压线或超出则每台记10分。</w:t>
      </w:r>
    </w:p>
    <w:p w14:paraId="63E542BB">
      <w:pPr>
        <w:pStyle w:val="2"/>
        <w:numPr>
          <w:ilvl w:val="0"/>
          <w:numId w:val="1"/>
        </w:numPr>
        <w:topLinePunct w:val="0"/>
        <w:ind w:left="0" w:leftChars="0" w:firstLine="640" w:firstLineChars="0"/>
        <w:rPr>
          <w:b w:val="0"/>
          <w:highlight w:val="none"/>
        </w:rPr>
      </w:pPr>
      <w:r>
        <w:rPr>
          <w:highlight w:val="none"/>
        </w:rPr>
        <w:t>任务位置及道具</w:t>
      </w:r>
    </w:p>
    <w:p w14:paraId="6BD33F48">
      <w:pPr>
        <w:pStyle w:val="11"/>
        <w:numPr>
          <w:ilvl w:val="0"/>
          <w:numId w:val="9"/>
        </w:numPr>
        <w:ind w:left="0" w:leftChars="0" w:firstLine="640" w:firstLineChars="200"/>
        <w:rPr>
          <w:b w:val="0"/>
          <w:highlight w:val="none"/>
        </w:rPr>
      </w:pPr>
      <w:r>
        <w:rPr>
          <w:b w:val="0"/>
          <w:highlight w:val="none"/>
        </w:rPr>
        <w:t>各个区域在场地图中分布，具体位置如图5</w:t>
      </w:r>
    </w:p>
    <w:p w14:paraId="15DF1C03">
      <w:pPr>
        <w:spacing w:line="240" w:lineRule="auto"/>
        <w:jc w:val="center"/>
        <w:rPr>
          <w:rFonts w:hint="eastAsia" w:eastAsia="宋体"/>
          <w:highlight w:val="none"/>
          <w:lang w:eastAsia="zh-CN"/>
        </w:rPr>
      </w:pPr>
      <w:r>
        <w:rPr>
          <w:rFonts w:hint="eastAsia" w:eastAsia="宋体"/>
          <w:highlight w:val="none"/>
          <w:lang w:eastAsia="zh-CN"/>
        </w:rPr>
        <w:drawing>
          <wp:inline distT="0" distB="0" distL="114300" distR="114300">
            <wp:extent cx="3371215" cy="3371215"/>
            <wp:effectExtent l="0" t="0" r="12065" b="12065"/>
            <wp:docPr id="10" name="图片 10" descr="垃圾分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垃圾分类图"/>
                    <pic:cNvPicPr>
                      <a:picLocks noChangeAspect="1"/>
                    </pic:cNvPicPr>
                  </pic:nvPicPr>
                  <pic:blipFill>
                    <a:blip r:embed="rId12"/>
                    <a:stretch>
                      <a:fillRect/>
                    </a:stretch>
                  </pic:blipFill>
                  <pic:spPr>
                    <a:xfrm>
                      <a:off x="0" y="0"/>
                      <a:ext cx="3371215" cy="3371215"/>
                    </a:xfrm>
                    <a:prstGeom prst="rect">
                      <a:avLst/>
                    </a:prstGeom>
                  </pic:spPr>
                </pic:pic>
              </a:graphicData>
            </a:graphic>
          </wp:inline>
        </w:drawing>
      </w:r>
    </w:p>
    <w:p w14:paraId="1D0C256D">
      <w:pPr>
        <w:pStyle w:val="20"/>
        <w:widowControl/>
        <w:rPr>
          <w:highlight w:val="none"/>
        </w:rPr>
      </w:pPr>
      <w:r>
        <w:rPr>
          <w:highlight w:val="none"/>
        </w:rPr>
        <w:t>图5任务区域分布</w:t>
      </w:r>
    </w:p>
    <w:p w14:paraId="524FAFCE">
      <w:pPr>
        <w:pStyle w:val="11"/>
        <w:numPr>
          <w:ilvl w:val="0"/>
          <w:numId w:val="9"/>
        </w:numPr>
        <w:ind w:left="0" w:leftChars="0" w:firstLine="640" w:firstLineChars="200"/>
        <w:rPr>
          <w:b w:val="0"/>
          <w:highlight w:val="none"/>
        </w:rPr>
      </w:pPr>
      <w:r>
        <w:rPr>
          <w:b w:val="0"/>
          <w:highlight w:val="none"/>
        </w:rPr>
        <w:t>有害垃圾模型及可回收垃圾模型为固定位置摆放，每场活动开始前均保持基本一致，如图6。</w:t>
      </w:r>
    </w:p>
    <w:p w14:paraId="6A062F2B">
      <w:pPr>
        <w:spacing w:line="240" w:lineRule="auto"/>
        <w:jc w:val="center"/>
        <w:rPr>
          <w:rFonts w:hint="eastAsia" w:eastAsia="宋体"/>
          <w:highlight w:val="none"/>
          <w:lang w:eastAsia="zh-CN"/>
        </w:rPr>
      </w:pPr>
      <w:r>
        <w:rPr>
          <w:rFonts w:hint="eastAsia" w:eastAsia="宋体"/>
          <w:highlight w:val="none"/>
          <w:lang w:eastAsia="zh-CN"/>
        </w:rPr>
        <w:drawing>
          <wp:inline distT="0" distB="0" distL="114300" distR="114300">
            <wp:extent cx="3471545" cy="3471545"/>
            <wp:effectExtent l="0" t="0" r="3175" b="3175"/>
            <wp:docPr id="12" name="图片 12" descr="垃圾分类图(标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垃圾分类图(标注)"/>
                    <pic:cNvPicPr>
                      <a:picLocks noChangeAspect="1"/>
                    </pic:cNvPicPr>
                  </pic:nvPicPr>
                  <pic:blipFill>
                    <a:blip r:embed="rId13"/>
                    <a:stretch>
                      <a:fillRect/>
                    </a:stretch>
                  </pic:blipFill>
                  <pic:spPr>
                    <a:xfrm>
                      <a:off x="0" y="0"/>
                      <a:ext cx="3471545" cy="3471545"/>
                    </a:xfrm>
                    <a:prstGeom prst="rect">
                      <a:avLst/>
                    </a:prstGeom>
                  </pic:spPr>
                </pic:pic>
              </a:graphicData>
            </a:graphic>
          </wp:inline>
        </w:drawing>
      </w:r>
    </w:p>
    <w:p w14:paraId="5EB9BC3F">
      <w:pPr>
        <w:pStyle w:val="20"/>
        <w:widowControl/>
        <w:rPr>
          <w:rFonts w:hint="eastAsia" w:eastAsia="宋体"/>
          <w:highlight w:val="none"/>
          <w:lang w:eastAsia="zh-CN"/>
        </w:rPr>
      </w:pPr>
      <w:r>
        <w:rPr>
          <w:highlight w:val="none"/>
        </w:rPr>
        <w:t>图6有害垃圾模型及可回收垃圾模型的放置位置</w:t>
      </w:r>
    </w:p>
    <w:p w14:paraId="0DCE0B88">
      <w:pPr>
        <w:pStyle w:val="11"/>
        <w:numPr>
          <w:ilvl w:val="0"/>
          <w:numId w:val="9"/>
        </w:numPr>
        <w:ind w:left="0" w:leftChars="0" w:firstLine="640" w:firstLineChars="200"/>
        <w:rPr>
          <w:b w:val="0"/>
          <w:highlight w:val="none"/>
        </w:rPr>
      </w:pPr>
      <w:r>
        <w:rPr>
          <w:b w:val="0"/>
          <w:highlight w:val="none"/>
        </w:rPr>
        <w:t>厨余垃圾、有害垃圾、可回收垃圾模型均为长宽高不大于6cm的EVA模型，样式为正方体底部位平面的模型，同一类型道具样式相同。参考图片及尺寸如下图所示，实际尺寸及样式以现场为准。</w:t>
      </w:r>
    </w:p>
    <w:p w14:paraId="6BFE68A9">
      <w:pPr>
        <w:keepNext w:val="0"/>
        <w:keepLines w:val="0"/>
        <w:pageBreakBefore w:val="0"/>
        <w:widowControl w:val="0"/>
        <w:kinsoku/>
        <w:wordWrap/>
        <w:overflowPunct/>
        <w:topLinePunct w:val="0"/>
        <w:bidi w:val="0"/>
        <w:adjustRightInd/>
        <w:snapToGrid/>
        <w:spacing w:line="240" w:lineRule="auto"/>
        <w:ind w:firstLine="640" w:firstLineChars="200"/>
        <w:jc w:val="center"/>
        <w:textAlignment w:val="auto"/>
        <w:rPr>
          <w:rFonts w:hint="eastAsia" w:ascii="仿宋" w:hAnsi="仿宋" w:eastAsia="仿宋" w:cs="Times New Roman"/>
          <w:b w:val="0"/>
          <w:bCs w:val="0"/>
          <w:sz w:val="32"/>
          <w:szCs w:val="32"/>
          <w:highlight w:val="none"/>
          <w:lang w:eastAsia="zh-CN"/>
        </w:rPr>
      </w:pPr>
      <w:r>
        <w:rPr>
          <w:rFonts w:hint="eastAsia" w:ascii="仿宋" w:hAnsi="仿宋" w:eastAsia="仿宋" w:cs="Times New Roman"/>
          <w:b w:val="0"/>
          <w:bCs w:val="0"/>
          <w:sz w:val="32"/>
          <w:szCs w:val="32"/>
          <w:highlight w:val="none"/>
          <w:lang w:eastAsia="zh-CN"/>
        </w:rPr>
        <w:drawing>
          <wp:inline distT="0" distB="0" distL="114300" distR="114300">
            <wp:extent cx="2085975" cy="1847850"/>
            <wp:effectExtent l="0" t="0" r="9525" b="0"/>
            <wp:docPr id="8" name="图片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
                    <pic:cNvPicPr>
                      <a:picLocks noChangeAspect="1"/>
                    </pic:cNvPicPr>
                  </pic:nvPicPr>
                  <pic:blipFill>
                    <a:blip r:embed="rId14"/>
                    <a:stretch>
                      <a:fillRect/>
                    </a:stretch>
                  </pic:blipFill>
                  <pic:spPr>
                    <a:xfrm>
                      <a:off x="0" y="0"/>
                      <a:ext cx="2085975" cy="1847850"/>
                    </a:xfrm>
                    <a:prstGeom prst="rect">
                      <a:avLst/>
                    </a:prstGeom>
                  </pic:spPr>
                </pic:pic>
              </a:graphicData>
            </a:graphic>
          </wp:inline>
        </w:drawing>
      </w:r>
    </w:p>
    <w:p w14:paraId="2BC10B6F">
      <w:pPr>
        <w:keepNext w:val="0"/>
        <w:keepLines w:val="0"/>
        <w:pageBreakBefore w:val="0"/>
        <w:widowControl w:val="0"/>
        <w:kinsoku/>
        <w:wordWrap/>
        <w:overflowPunct/>
        <w:topLinePunct w:val="0"/>
        <w:bidi w:val="0"/>
        <w:adjustRightInd/>
        <w:snapToGrid/>
        <w:spacing w:line="240" w:lineRule="auto"/>
        <w:ind w:firstLine="640" w:firstLineChars="200"/>
        <w:jc w:val="center"/>
        <w:textAlignment w:val="auto"/>
        <w:rPr>
          <w:rFonts w:hint="eastAsia" w:ascii="仿宋" w:hAnsi="仿宋" w:eastAsia="仿宋" w:cs="Times New Roman"/>
          <w:b w:val="0"/>
          <w:bCs w:val="0"/>
          <w:sz w:val="32"/>
          <w:szCs w:val="32"/>
          <w:highlight w:val="none"/>
          <w:lang w:eastAsia="zh-CN"/>
        </w:rPr>
      </w:pPr>
    </w:p>
    <w:p w14:paraId="42A35D02">
      <w:pPr>
        <w:pStyle w:val="2"/>
        <w:numPr>
          <w:ilvl w:val="0"/>
          <w:numId w:val="1"/>
        </w:numPr>
        <w:topLinePunct w:val="0"/>
        <w:ind w:left="0" w:leftChars="0" w:firstLine="640" w:firstLineChars="0"/>
        <w:rPr>
          <w:b w:val="0"/>
          <w:highlight w:val="none"/>
        </w:rPr>
      </w:pPr>
      <w:r>
        <w:rPr>
          <w:highlight w:val="none"/>
        </w:rPr>
        <w:t>活动流程</w:t>
      </w:r>
    </w:p>
    <w:p w14:paraId="0182554F">
      <w:pPr>
        <w:pStyle w:val="3"/>
        <w:numPr>
          <w:ilvl w:val="0"/>
          <w:numId w:val="10"/>
        </w:numPr>
        <w:ind w:left="0" w:leftChars="0" w:firstLine="420" w:firstLineChars="0"/>
        <w:rPr>
          <w:b w:val="0"/>
          <w:highlight w:val="none"/>
        </w:rPr>
      </w:pPr>
      <w:r>
        <w:rPr>
          <w:highlight w:val="none"/>
        </w:rPr>
        <w:t>检录</w:t>
      </w:r>
    </w:p>
    <w:p w14:paraId="0854815E">
      <w:pPr>
        <w:pStyle w:val="11"/>
        <w:rPr>
          <w:rFonts w:hint="eastAsia" w:eastAsia="仿宋"/>
          <w:highlight w:val="none"/>
          <w:lang w:eastAsia="zh-CN"/>
        </w:rPr>
      </w:pPr>
      <w:r>
        <w:rPr>
          <w:b w:val="0"/>
          <w:highlight w:val="none"/>
        </w:rPr>
        <w:t>参与队员经检录后方能进入准备区。裁判员对参与队携带的器材进行全面检查，以确保符合相关规定。选手应对不符合规定的地方进行修整改进，复检通过后方可继续参加活动。</w:t>
      </w:r>
    </w:p>
    <w:p w14:paraId="2AF16B0C">
      <w:pPr>
        <w:pStyle w:val="3"/>
        <w:numPr>
          <w:ilvl w:val="0"/>
          <w:numId w:val="10"/>
        </w:numPr>
        <w:ind w:left="0" w:leftChars="0" w:firstLine="420" w:firstLineChars="0"/>
        <w:rPr>
          <w:highlight w:val="none"/>
        </w:rPr>
      </w:pPr>
      <w:r>
        <w:rPr>
          <w:highlight w:val="none"/>
        </w:rPr>
        <w:t>调试</w:t>
      </w:r>
    </w:p>
    <w:p w14:paraId="0924C8DE">
      <w:pPr>
        <w:pStyle w:val="11"/>
        <w:rPr>
          <w:rFonts w:hint="eastAsia" w:eastAsia="仿宋"/>
          <w:b w:val="0"/>
          <w:highlight w:val="none"/>
          <w:lang w:eastAsia="zh-CN"/>
        </w:rPr>
      </w:pPr>
      <w:r>
        <w:rPr>
          <w:b w:val="0"/>
          <w:highlight w:val="none"/>
        </w:rPr>
        <w:t>参与队的学生队员检录后方能进入准备区，裁判员对参与队携带的器材按照本规则第4节的要求进行检查。选手不得携带U盘、光盘、手机、相机等存储和通信器材。手机作用于遥控设备时，必须调至飞行模式后方可使用；建议使用具有2.4G或蓝牙通信的遥控器操作机器人。</w:t>
      </w:r>
    </w:p>
    <w:p w14:paraId="5FA7EF9C">
      <w:pPr>
        <w:pStyle w:val="11"/>
        <w:rPr>
          <w:rFonts w:hint="eastAsia" w:eastAsia="仿宋"/>
          <w:b w:val="0"/>
          <w:highlight w:val="none"/>
          <w:lang w:eastAsia="zh-CN"/>
        </w:rPr>
      </w:pPr>
      <w:r>
        <w:rPr>
          <w:b w:val="0"/>
          <w:highlight w:val="none"/>
        </w:rPr>
        <w:t>机器人的调试只能在准备区进行，第一轮编程及调试时间为60分钟。调试时间结束后，所有参与队中止编程及调试，但将保证编程调试中的最后一支队伍至少有一次测试机会。在第二轮活动开始前，裁判组将会根据活动的整体安排确定第二轮活动前的调试时间，可能没有调式时间或给予不超过30分钟的调试时间。调试时间结束后，所有队伍终止调试，但不保证每支队伍的测试机会。</w:t>
      </w:r>
    </w:p>
    <w:p w14:paraId="6D699938">
      <w:pPr>
        <w:pStyle w:val="3"/>
        <w:numPr>
          <w:ilvl w:val="0"/>
          <w:numId w:val="10"/>
        </w:numPr>
        <w:ind w:left="0" w:leftChars="0" w:firstLine="420" w:firstLineChars="0"/>
        <w:rPr>
          <w:highlight w:val="none"/>
        </w:rPr>
      </w:pPr>
      <w:r>
        <w:rPr>
          <w:highlight w:val="none"/>
        </w:rPr>
        <w:t>活动前准备</w:t>
      </w:r>
    </w:p>
    <w:p w14:paraId="4466D68A">
      <w:pPr>
        <w:pStyle w:val="11"/>
        <w:rPr>
          <w:rFonts w:hint="eastAsia" w:eastAsia="仿宋"/>
          <w:highlight w:val="none"/>
          <w:lang w:eastAsia="zh-CN"/>
        </w:rPr>
      </w:pPr>
      <w:r>
        <w:rPr>
          <w:b w:val="0"/>
          <w:highlight w:val="none"/>
        </w:rPr>
        <w:t>参与队按组委会确定的参与顺序携带自己的机器人，轮流上场活动。在规定时间内未到场的参与队将被视为弃权。学生队员上场时，站立在待命区附近。队员将自己的机器人放入待命区，并将携带的遥控器放置在场地上。机器人的任何部分及其在地面的投影不能超出待命区。</w:t>
      </w:r>
    </w:p>
    <w:p w14:paraId="064D63E7">
      <w:pPr>
        <w:pStyle w:val="3"/>
        <w:numPr>
          <w:ilvl w:val="0"/>
          <w:numId w:val="10"/>
        </w:numPr>
        <w:ind w:left="0" w:leftChars="0" w:firstLine="420" w:firstLineChars="0"/>
        <w:rPr>
          <w:highlight w:val="none"/>
        </w:rPr>
      </w:pPr>
      <w:r>
        <w:rPr>
          <w:highlight w:val="none"/>
        </w:rPr>
        <w:t>启动</w:t>
      </w:r>
    </w:p>
    <w:p w14:paraId="1235502D">
      <w:pPr>
        <w:pStyle w:val="11"/>
        <w:rPr>
          <w:rFonts w:hint="eastAsia" w:eastAsia="仿宋"/>
          <w:highlight w:val="none"/>
          <w:lang w:eastAsia="zh-CN"/>
        </w:rPr>
      </w:pPr>
      <w:r>
        <w:rPr>
          <w:b w:val="0"/>
          <w:highlight w:val="none"/>
        </w:rPr>
        <w:t>裁判员确认参与队已准备好后，将发出“5，4，3，2，1，开始”的倒计数启动口令。随着倒计数的开始，听到“开始”命令的第一个字，队员可以利用遥控设备进行控制机器人完成任务。</w:t>
      </w:r>
    </w:p>
    <w:p w14:paraId="0E635618">
      <w:pPr>
        <w:pStyle w:val="11"/>
        <w:rPr>
          <w:rFonts w:hint="eastAsia" w:eastAsia="仿宋"/>
          <w:b w:val="0"/>
          <w:highlight w:val="none"/>
          <w:lang w:eastAsia="zh-CN"/>
        </w:rPr>
      </w:pPr>
      <w:r>
        <w:rPr>
          <w:b w:val="0"/>
          <w:highlight w:val="none"/>
        </w:rPr>
        <w:t>在“开始”命令前操作机器人将被视为“误启动”并受到警告或处罚。第一次误启动后，参与队员要将机器放回待命区，等候裁判的再次倒计数启动口令。</w:t>
      </w:r>
    </w:p>
    <w:p w14:paraId="33CBE23F">
      <w:pPr>
        <w:pStyle w:val="11"/>
        <w:rPr>
          <w:rFonts w:hint="eastAsia" w:eastAsia="仿宋"/>
          <w:b w:val="0"/>
          <w:highlight w:val="none"/>
          <w:lang w:eastAsia="zh-CN"/>
        </w:rPr>
      </w:pPr>
      <w:r>
        <w:rPr>
          <w:b w:val="0"/>
          <w:highlight w:val="none"/>
        </w:rPr>
        <w:t>机器人一旦启动，参与队员不得接触机器人及任务模型。启动后的机器人不得故意分离出部件或把机械零件掉在场上。偶然脱落的机器人零部件，由裁判员及时清出场地。</w:t>
      </w:r>
    </w:p>
    <w:p w14:paraId="1F9B0037">
      <w:pPr>
        <w:pStyle w:val="11"/>
        <w:rPr>
          <w:rFonts w:hint="eastAsia" w:eastAsia="仿宋"/>
          <w:highlight w:val="none"/>
          <w:lang w:eastAsia="zh-CN"/>
        </w:rPr>
      </w:pPr>
      <w:r>
        <w:rPr>
          <w:b w:val="0"/>
          <w:highlight w:val="none"/>
        </w:rPr>
        <w:t>启动后的机器人如因速度过快或程序错误完全越出场地边界，或将所携带的物品抛出场地，该机器人和物品不得再回到场上。</w:t>
      </w:r>
    </w:p>
    <w:p w14:paraId="71D576E6">
      <w:pPr>
        <w:pStyle w:val="3"/>
        <w:numPr>
          <w:ilvl w:val="0"/>
          <w:numId w:val="10"/>
        </w:numPr>
        <w:ind w:left="0" w:leftChars="0" w:firstLine="420" w:firstLineChars="0"/>
        <w:rPr>
          <w:highlight w:val="none"/>
        </w:rPr>
      </w:pPr>
      <w:r>
        <w:rPr>
          <w:highlight w:val="none"/>
        </w:rPr>
        <w:t>重置</w:t>
      </w:r>
    </w:p>
    <w:p w14:paraId="0AD383EF">
      <w:pPr>
        <w:pStyle w:val="11"/>
        <w:rPr>
          <w:b w:val="0"/>
          <w:highlight w:val="none"/>
        </w:rPr>
      </w:pPr>
      <w:r>
        <w:rPr>
          <w:b w:val="0"/>
          <w:highlight w:val="none"/>
        </w:rPr>
        <w:t>机器人在运行中如果出现故障，参与队员可以向裁判员申请重置。裁判员同意重置后，场地状态保持不变，队员可将需要重置的机器人搬回待命区并重新启动。每场活动可以无限次数重置，但每发生一次重置扣除5分。重置期间计时不停止，机器人已经完成的任务仍有效。重置过程中参与队员不得接触任务模型，否则该任务不得分。若发生重置时机器人携带有任务模型，则该任务模型失效，应交由裁判保管。</w:t>
      </w:r>
    </w:p>
    <w:p w14:paraId="014E774E">
      <w:pPr>
        <w:pStyle w:val="3"/>
        <w:numPr>
          <w:ilvl w:val="0"/>
          <w:numId w:val="10"/>
        </w:numPr>
        <w:ind w:left="0" w:leftChars="0" w:firstLine="420" w:firstLineChars="0"/>
        <w:rPr>
          <w:highlight w:val="none"/>
        </w:rPr>
      </w:pPr>
      <w:r>
        <w:rPr>
          <w:highlight w:val="none"/>
        </w:rPr>
        <w:t>活动结束</w:t>
      </w:r>
    </w:p>
    <w:p w14:paraId="468FEF4C">
      <w:pPr>
        <w:pStyle w:val="11"/>
        <w:rPr>
          <w:rFonts w:hint="eastAsia" w:eastAsia="仿宋"/>
          <w:b w:val="0"/>
          <w:highlight w:val="none"/>
          <w:lang w:eastAsia="zh-CN"/>
        </w:rPr>
      </w:pPr>
      <w:r>
        <w:rPr>
          <w:b w:val="0"/>
          <w:highlight w:val="none"/>
        </w:rPr>
        <w:t>每场活动的时长为180秒。参与队在完成一些任务后，如不准备继续活动，应向裁判员示意，裁判员停止计时，结束活动；否则，继续等待裁判员的终场哨音。裁判员吹响终场哨音后，参与队员除应立即放下遥控器停止机器人动作外，不得与场上的机器人或任何物品接触。裁判员记录场上状态，填写记分表。</w:t>
      </w:r>
    </w:p>
    <w:p w14:paraId="36CFB577">
      <w:pPr>
        <w:pStyle w:val="11"/>
        <w:rPr>
          <w:rFonts w:hint="eastAsia" w:eastAsia="仿宋"/>
          <w:highlight w:val="none"/>
          <w:lang w:eastAsia="zh-CN"/>
        </w:rPr>
      </w:pPr>
      <w:r>
        <w:rPr>
          <w:b w:val="0"/>
          <w:highlight w:val="none"/>
        </w:rPr>
        <w:t>参与队员应签字表明知晓本场活动的得分，并取回自己的机器人。</w:t>
      </w:r>
    </w:p>
    <w:p w14:paraId="31A623FD">
      <w:pPr>
        <w:pStyle w:val="3"/>
        <w:numPr>
          <w:ilvl w:val="0"/>
          <w:numId w:val="10"/>
        </w:numPr>
        <w:ind w:left="0" w:leftChars="0" w:firstLine="420" w:firstLineChars="0"/>
        <w:rPr>
          <w:highlight w:val="none"/>
        </w:rPr>
      </w:pPr>
      <w:r>
        <w:rPr>
          <w:highlight w:val="none"/>
        </w:rPr>
        <w:t>得分</w:t>
      </w:r>
    </w:p>
    <w:p w14:paraId="24BEDA9C">
      <w:pPr>
        <w:pStyle w:val="11"/>
        <w:rPr>
          <w:rFonts w:hint="eastAsia" w:eastAsia="仿宋"/>
          <w:b w:val="0"/>
          <w:highlight w:val="none"/>
          <w:lang w:eastAsia="zh-CN"/>
        </w:rPr>
      </w:pPr>
      <w:r>
        <w:rPr>
          <w:b w:val="0"/>
          <w:highlight w:val="none"/>
        </w:rPr>
        <w:t>每场活动结束后要核查参与队的得分。单场活动的得分为完成任务分、重置扣分之和。完成任务分按活动结束时模型的静止状态和任务完成标准记分，</w:t>
      </w:r>
    </w:p>
    <w:p w14:paraId="7123E1A1">
      <w:pPr>
        <w:pStyle w:val="11"/>
        <w:rPr>
          <w:rFonts w:hint="eastAsia" w:eastAsia="仿宋"/>
          <w:b w:val="0"/>
          <w:highlight w:val="none"/>
          <w:lang w:eastAsia="zh-CN"/>
        </w:rPr>
      </w:pPr>
      <w:r>
        <w:rPr>
          <w:b w:val="0"/>
          <w:highlight w:val="none"/>
        </w:rPr>
        <w:t>详见“</w:t>
      </w:r>
      <w:r>
        <w:rPr>
          <w:rFonts w:hint="eastAsia"/>
          <w:b w:val="0"/>
          <w:highlight w:val="none"/>
          <w:lang w:val="en-US" w:eastAsia="zh-CN"/>
        </w:rPr>
        <w:t>五</w:t>
      </w:r>
      <w:r>
        <w:rPr>
          <w:b w:val="0"/>
          <w:highlight w:val="none"/>
        </w:rPr>
        <w:t>、任务说明”。</w:t>
      </w:r>
    </w:p>
    <w:p w14:paraId="3A241746">
      <w:pPr>
        <w:pStyle w:val="11"/>
        <w:numPr>
          <w:ilvl w:val="0"/>
          <w:numId w:val="11"/>
        </w:numPr>
        <w:topLinePunct w:val="0"/>
        <w:ind w:left="0" w:leftChars="0" w:firstLine="640" w:firstLineChars="200"/>
        <w:rPr>
          <w:b w:val="0"/>
          <w:highlight w:val="none"/>
        </w:rPr>
      </w:pPr>
      <w:r>
        <w:rPr>
          <w:b w:val="0"/>
          <w:highlight w:val="none"/>
        </w:rPr>
        <w:t>活动共有两轮，最终成绩取两轮中的最好成绩。</w:t>
      </w:r>
    </w:p>
    <w:p w14:paraId="2B4248DA">
      <w:pPr>
        <w:pStyle w:val="11"/>
        <w:numPr>
          <w:ilvl w:val="0"/>
          <w:numId w:val="11"/>
        </w:numPr>
        <w:topLinePunct w:val="0"/>
        <w:ind w:left="0" w:leftChars="0" w:firstLine="640" w:firstLineChars="200"/>
        <w:rPr>
          <w:b w:val="0"/>
          <w:highlight w:val="none"/>
        </w:rPr>
      </w:pPr>
      <w:r>
        <w:rPr>
          <w:b w:val="0"/>
          <w:highlight w:val="none"/>
        </w:rPr>
        <w:t>若有多组参与队成绩相同，则完成时间较短的排列靠前。</w:t>
      </w:r>
    </w:p>
    <w:p w14:paraId="07793ACE">
      <w:pPr>
        <w:pStyle w:val="11"/>
        <w:numPr>
          <w:ilvl w:val="0"/>
          <w:numId w:val="11"/>
        </w:numPr>
        <w:topLinePunct w:val="0"/>
        <w:ind w:left="0" w:leftChars="0" w:firstLine="640" w:firstLineChars="200"/>
        <w:rPr>
          <w:b w:val="0"/>
          <w:highlight w:val="none"/>
        </w:rPr>
      </w:pPr>
      <w:r>
        <w:rPr>
          <w:b w:val="0"/>
          <w:highlight w:val="none"/>
        </w:rPr>
        <w:t>若有多组参与队成绩和完成时间都相同，则并列。</w:t>
      </w:r>
    </w:p>
    <w:p w14:paraId="5599D7DC">
      <w:pPr>
        <w:pStyle w:val="2"/>
        <w:numPr>
          <w:ilvl w:val="0"/>
          <w:numId w:val="1"/>
        </w:numPr>
        <w:topLinePunct w:val="0"/>
        <w:ind w:left="0" w:leftChars="0" w:firstLine="640" w:firstLineChars="0"/>
        <w:rPr>
          <w:b w:val="0"/>
          <w:highlight w:val="none"/>
        </w:rPr>
      </w:pPr>
      <w:bookmarkStart w:id="0" w:name="_Toc294"/>
      <w:r>
        <w:rPr>
          <w:highlight w:val="none"/>
        </w:rPr>
        <w:t>犯规和取消资格</w:t>
      </w:r>
      <w:bookmarkEnd w:id="0"/>
    </w:p>
    <w:p w14:paraId="7A24A107">
      <w:pPr>
        <w:pStyle w:val="11"/>
        <w:numPr>
          <w:ilvl w:val="0"/>
          <w:numId w:val="12"/>
        </w:numPr>
        <w:ind w:left="0" w:leftChars="0" w:firstLine="420" w:firstLineChars="0"/>
        <w:rPr>
          <w:b w:val="0"/>
          <w:highlight w:val="none"/>
        </w:rPr>
      </w:pPr>
      <w:r>
        <w:rPr>
          <w:b w:val="0"/>
          <w:highlight w:val="none"/>
        </w:rPr>
        <w:t>未准时到场的参与队，每迟到1分钟则判罚该队10分，如果活动开始10分钟后，仍未到场，该队将被取消活动资格。</w:t>
      </w:r>
    </w:p>
    <w:p w14:paraId="7CEA7E0A">
      <w:pPr>
        <w:pStyle w:val="11"/>
        <w:numPr>
          <w:ilvl w:val="0"/>
          <w:numId w:val="12"/>
        </w:numPr>
        <w:ind w:left="0" w:leftChars="0" w:firstLine="420" w:firstLineChars="0"/>
        <w:rPr>
          <w:b w:val="0"/>
          <w:highlight w:val="none"/>
        </w:rPr>
      </w:pPr>
      <w:r>
        <w:rPr>
          <w:b w:val="0"/>
          <w:highlight w:val="none"/>
        </w:rPr>
        <w:t>不听从裁判指示和要求的，将被警告直至取消活动资格。</w:t>
      </w:r>
    </w:p>
    <w:p w14:paraId="4051F378">
      <w:pPr>
        <w:pStyle w:val="11"/>
        <w:numPr>
          <w:ilvl w:val="0"/>
          <w:numId w:val="12"/>
        </w:numPr>
        <w:ind w:left="0" w:leftChars="0" w:firstLine="420" w:firstLineChars="0"/>
        <w:rPr>
          <w:b w:val="0"/>
          <w:highlight w:val="none"/>
        </w:rPr>
      </w:pPr>
      <w:r>
        <w:rPr>
          <w:b w:val="0"/>
          <w:highlight w:val="none"/>
        </w:rPr>
        <w:t>当裁判宣布机器人违规运行时，参与队员必须立刻停止机器人。</w:t>
      </w:r>
    </w:p>
    <w:p w14:paraId="67C3CE38">
      <w:pPr>
        <w:pStyle w:val="11"/>
        <w:numPr>
          <w:ilvl w:val="0"/>
          <w:numId w:val="12"/>
        </w:numPr>
        <w:ind w:left="0" w:leftChars="0" w:firstLine="420" w:firstLineChars="0"/>
        <w:rPr>
          <w:b w:val="0"/>
          <w:highlight w:val="none"/>
        </w:rPr>
      </w:pPr>
      <w:r>
        <w:rPr>
          <w:b w:val="0"/>
          <w:highlight w:val="none"/>
        </w:rPr>
        <w:t>活动过程中参与队员在未经裁判允许的情况下私自以任何形式与场外人员进行沟通、联系，一经发现虽可继续完成活动但取消所有活动成绩。</w:t>
      </w:r>
    </w:p>
    <w:p w14:paraId="07506AF0">
      <w:pPr>
        <w:pStyle w:val="11"/>
        <w:numPr>
          <w:ilvl w:val="0"/>
          <w:numId w:val="0"/>
        </w:numPr>
        <w:ind w:left="420" w:leftChars="0"/>
        <w:rPr>
          <w:b w:val="0"/>
          <w:highlight w:val="none"/>
        </w:rPr>
      </w:pPr>
    </w:p>
    <w:p w14:paraId="3248FB5E">
      <w:pPr>
        <w:pStyle w:val="2"/>
        <w:numPr>
          <w:ilvl w:val="0"/>
          <w:numId w:val="1"/>
        </w:numPr>
        <w:topLinePunct w:val="0"/>
        <w:ind w:left="0" w:leftChars="0" w:firstLine="640" w:firstLineChars="0"/>
        <w:rPr>
          <w:b w:val="0"/>
          <w:highlight w:val="none"/>
        </w:rPr>
      </w:pPr>
      <w:bookmarkStart w:id="1" w:name="_Toc11826"/>
      <w:r>
        <w:rPr>
          <w:highlight w:val="none"/>
        </w:rPr>
        <w:t>其它</w:t>
      </w:r>
      <w:bookmarkEnd w:id="1"/>
    </w:p>
    <w:p w14:paraId="7FFA2D69">
      <w:pPr>
        <w:pStyle w:val="11"/>
        <w:numPr>
          <w:ilvl w:val="0"/>
          <w:numId w:val="13"/>
        </w:numPr>
        <w:topLinePunct w:val="0"/>
        <w:ind w:left="0" w:leftChars="0" w:firstLine="640" w:firstLineChars="0"/>
        <w:rPr>
          <w:b w:val="0"/>
          <w:highlight w:val="none"/>
        </w:rPr>
      </w:pPr>
      <w:r>
        <w:rPr>
          <w:b w:val="0"/>
          <w:highlight w:val="none"/>
        </w:rPr>
        <w:t>本规则是实施裁判工作的依据。在活动中，裁判长有最终裁定权。处理争议时不会复查重放的活动录像。组委会不接受指导员或家长的投诉。</w:t>
      </w:r>
    </w:p>
    <w:p w14:paraId="0D284B72">
      <w:pPr>
        <w:pStyle w:val="11"/>
        <w:numPr>
          <w:ilvl w:val="0"/>
          <w:numId w:val="13"/>
        </w:numPr>
        <w:topLinePunct w:val="0"/>
        <w:ind w:left="0" w:leftChars="0" w:firstLine="640" w:firstLineChars="0"/>
        <w:rPr>
          <w:b w:val="0"/>
          <w:highlight w:val="none"/>
        </w:rPr>
      </w:pPr>
      <w:r>
        <w:rPr>
          <w:b w:val="0"/>
          <w:highlight w:val="none"/>
        </w:rPr>
        <w:t>活动期间，凡是规则中没有说明的事项由裁判委员会决定和解释。</w:t>
      </w:r>
    </w:p>
    <w:p w14:paraId="23E2BF37">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 w:hAnsi="仿宋" w:eastAsia="仿宋" w:cs="Times New Roman"/>
          <w:b w:val="0"/>
          <w:bCs w:val="0"/>
          <w:sz w:val="32"/>
          <w:szCs w:val="32"/>
          <w:highlight w:val="none"/>
          <w:lang w:val="en-US" w:eastAsia="zh-CN"/>
        </w:rPr>
        <w:sectPr>
          <w:headerReference r:id="rId5" w:type="default"/>
          <w:footerReference r:id="rId6" w:type="default"/>
          <w:pgSz w:w="11906" w:h="16840"/>
          <w:pgMar w:top="2098" w:right="1474" w:bottom="1871" w:left="1587" w:header="850" w:footer="992" w:gutter="0"/>
          <w:pgNumType w:fmt="decimal" w:start="1"/>
          <w:cols w:space="0" w:num="1"/>
          <w:rtlGutter w:val="0"/>
          <w:docGrid w:linePitch="0" w:charSpace="0"/>
        </w:sectPr>
      </w:pPr>
    </w:p>
    <w:p w14:paraId="2982AFF1">
      <w:pPr>
        <w:pStyle w:val="19"/>
        <w:widowControl/>
        <w:rPr>
          <w:highlight w:val="none"/>
        </w:rPr>
      </w:pPr>
      <w:r>
        <w:rPr>
          <w:highlight w:val="none"/>
        </w:rPr>
        <w:t>附录1</w:t>
      </w:r>
    </w:p>
    <w:p w14:paraId="1F398510">
      <w:pPr>
        <w:pStyle w:val="14"/>
        <w:widowControl/>
        <w:rPr>
          <w:highlight w:val="none"/>
        </w:rPr>
      </w:pPr>
      <w:r>
        <w:rPr>
          <w:highlight w:val="none"/>
        </w:rPr>
        <w:t>智能垃圾分类—记分表</w:t>
      </w:r>
    </w:p>
    <w:p w14:paraId="783BBF79">
      <w:pPr>
        <w:spacing w:line="327" w:lineRule="auto"/>
        <w:rPr>
          <w:rFonts w:ascii="Arial"/>
          <w:sz w:val="21"/>
          <w:highlight w:val="none"/>
        </w:rPr>
      </w:pPr>
    </w:p>
    <w:p w14:paraId="69A05384">
      <w:pPr>
        <w:spacing w:line="327" w:lineRule="auto"/>
        <w:rPr>
          <w:rFonts w:ascii="Arial"/>
          <w:sz w:val="21"/>
          <w:highlight w:val="none"/>
        </w:rPr>
      </w:pPr>
    </w:p>
    <w:p w14:paraId="0BEC2732">
      <w:pPr>
        <w:pStyle w:val="11"/>
        <w:widowControl/>
        <w:rPr>
          <w:rFonts w:hint="eastAsia" w:eastAsia="仿宋"/>
          <w:highlight w:val="none"/>
          <w:lang w:eastAsia="zh-CN"/>
        </w:rPr>
      </w:pPr>
      <w:r>
        <w:rPr>
          <w:highlight w:val="none"/>
        </w:rPr>
        <w:t>参与队：</w:t>
      </w:r>
      <w:r>
        <w:rPr>
          <w:rFonts w:hint="eastAsia"/>
          <w:highlight w:val="none"/>
          <w:lang w:val="en-US" w:eastAsia="zh-CN"/>
        </w:rPr>
        <w:t xml:space="preserve">           </w:t>
      </w:r>
      <w:r>
        <w:rPr>
          <w:highlight w:val="none"/>
        </w:rPr>
        <w:t>组别：</w:t>
      </w:r>
    </w:p>
    <w:p w14:paraId="63AF4308">
      <w:pPr>
        <w:spacing w:before="109"/>
        <w:rPr>
          <w:highlight w:val="none"/>
        </w:rPr>
      </w:pPr>
    </w:p>
    <w:tbl>
      <w:tblPr>
        <w:tblStyle w:val="17"/>
        <w:tblW w:w="9561"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2"/>
        <w:gridCol w:w="2791"/>
        <w:gridCol w:w="1415"/>
        <w:gridCol w:w="1699"/>
        <w:gridCol w:w="1704"/>
      </w:tblGrid>
      <w:tr w14:paraId="26C0D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4743" w:type="dxa"/>
            <w:gridSpan w:val="2"/>
            <w:vAlign w:val="top"/>
          </w:tcPr>
          <w:p w14:paraId="7C8FC69C">
            <w:pPr>
              <w:pStyle w:val="18"/>
              <w:spacing w:before="125" w:line="224" w:lineRule="auto"/>
              <w:ind w:left="2107"/>
              <w:rPr>
                <w:sz w:val="28"/>
                <w:szCs w:val="28"/>
                <w:highlight w:val="none"/>
              </w:rPr>
            </w:pPr>
            <w:r>
              <w:rPr>
                <w:b/>
                <w:bCs/>
                <w:spacing w:val="-12"/>
                <w:sz w:val="28"/>
                <w:szCs w:val="28"/>
                <w:highlight w:val="none"/>
              </w:rPr>
              <w:t>任务</w:t>
            </w:r>
          </w:p>
        </w:tc>
        <w:tc>
          <w:tcPr>
            <w:tcW w:w="1415" w:type="dxa"/>
            <w:vAlign w:val="top"/>
          </w:tcPr>
          <w:p w14:paraId="63A886E4">
            <w:pPr>
              <w:pStyle w:val="18"/>
              <w:spacing w:before="125" w:line="224" w:lineRule="auto"/>
              <w:ind w:left="446"/>
              <w:rPr>
                <w:sz w:val="28"/>
                <w:szCs w:val="28"/>
                <w:highlight w:val="none"/>
              </w:rPr>
            </w:pPr>
            <w:r>
              <w:rPr>
                <w:b/>
                <w:bCs/>
                <w:spacing w:val="-14"/>
                <w:sz w:val="28"/>
                <w:szCs w:val="28"/>
                <w:highlight w:val="none"/>
              </w:rPr>
              <w:t>分值</w:t>
            </w:r>
          </w:p>
        </w:tc>
        <w:tc>
          <w:tcPr>
            <w:tcW w:w="1699" w:type="dxa"/>
            <w:vAlign w:val="top"/>
          </w:tcPr>
          <w:p w14:paraId="7DBBEBBF">
            <w:pPr>
              <w:pStyle w:val="18"/>
              <w:spacing w:before="125" w:line="220" w:lineRule="auto"/>
              <w:ind w:left="456"/>
              <w:rPr>
                <w:sz w:val="28"/>
                <w:szCs w:val="28"/>
                <w:highlight w:val="none"/>
              </w:rPr>
            </w:pPr>
            <w:r>
              <w:rPr>
                <w:b/>
                <w:bCs/>
                <w:spacing w:val="-13"/>
                <w:sz w:val="28"/>
                <w:szCs w:val="28"/>
                <w:highlight w:val="none"/>
              </w:rPr>
              <w:t>第一轮</w:t>
            </w:r>
          </w:p>
        </w:tc>
        <w:tc>
          <w:tcPr>
            <w:tcW w:w="1704" w:type="dxa"/>
            <w:vAlign w:val="top"/>
          </w:tcPr>
          <w:p w14:paraId="32541B40">
            <w:pPr>
              <w:pStyle w:val="18"/>
              <w:spacing w:before="125" w:line="220" w:lineRule="auto"/>
              <w:ind w:left="459"/>
              <w:rPr>
                <w:sz w:val="28"/>
                <w:szCs w:val="28"/>
                <w:highlight w:val="none"/>
              </w:rPr>
            </w:pPr>
            <w:r>
              <w:rPr>
                <w:b/>
                <w:bCs/>
                <w:spacing w:val="-7"/>
                <w:sz w:val="28"/>
                <w:szCs w:val="28"/>
                <w:highlight w:val="none"/>
              </w:rPr>
              <w:t>第二轮</w:t>
            </w:r>
          </w:p>
        </w:tc>
      </w:tr>
      <w:tr w14:paraId="0B097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952" w:type="dxa"/>
            <w:vAlign w:val="top"/>
          </w:tcPr>
          <w:p w14:paraId="0D31C968">
            <w:pPr>
              <w:pStyle w:val="18"/>
              <w:spacing w:before="121" w:line="224" w:lineRule="auto"/>
              <w:ind w:left="31"/>
              <w:jc w:val="center"/>
              <w:rPr>
                <w:rFonts w:hint="default" w:eastAsia="仿宋"/>
                <w:sz w:val="28"/>
                <w:szCs w:val="28"/>
                <w:highlight w:val="none"/>
                <w:lang w:val="en-US" w:eastAsia="zh-CN"/>
              </w:rPr>
            </w:pPr>
            <w:r>
              <w:rPr>
                <w:rFonts w:hint="eastAsia"/>
                <w:b/>
                <w:bCs/>
                <w:spacing w:val="-7"/>
                <w:sz w:val="28"/>
                <w:szCs w:val="28"/>
                <w:highlight w:val="none"/>
                <w:lang w:val="en-US" w:eastAsia="zh-CN"/>
              </w:rPr>
              <w:t>厨余垃圾分类</w:t>
            </w:r>
          </w:p>
        </w:tc>
        <w:tc>
          <w:tcPr>
            <w:tcW w:w="2791" w:type="dxa"/>
            <w:vAlign w:val="top"/>
          </w:tcPr>
          <w:p w14:paraId="0EB3CBF2">
            <w:pPr>
              <w:pStyle w:val="18"/>
              <w:spacing w:before="122" w:line="223" w:lineRule="auto"/>
              <w:ind w:left="23"/>
              <w:rPr>
                <w:sz w:val="28"/>
                <w:szCs w:val="28"/>
                <w:highlight w:val="none"/>
              </w:rPr>
            </w:pPr>
            <w:r>
              <w:rPr>
                <w:spacing w:val="-4"/>
                <w:sz w:val="28"/>
                <w:szCs w:val="28"/>
                <w:highlight w:val="none"/>
              </w:rPr>
              <w:t>完全进入</w:t>
            </w:r>
            <w:r>
              <w:rPr>
                <w:rFonts w:hint="eastAsia"/>
                <w:spacing w:val="-4"/>
                <w:sz w:val="28"/>
                <w:szCs w:val="28"/>
                <w:highlight w:val="none"/>
                <w:lang w:val="en-US" w:eastAsia="zh-CN"/>
              </w:rPr>
              <w:t>回收区域</w:t>
            </w:r>
            <w:r>
              <w:rPr>
                <w:spacing w:val="-4"/>
                <w:sz w:val="28"/>
                <w:szCs w:val="28"/>
                <w:highlight w:val="none"/>
              </w:rPr>
              <w:t>内</w:t>
            </w:r>
          </w:p>
        </w:tc>
        <w:tc>
          <w:tcPr>
            <w:tcW w:w="1415" w:type="dxa"/>
            <w:vAlign w:val="top"/>
          </w:tcPr>
          <w:p w14:paraId="7BC3CA17">
            <w:pPr>
              <w:pStyle w:val="18"/>
              <w:spacing w:before="121" w:line="224" w:lineRule="auto"/>
              <w:ind w:left="15"/>
              <w:jc w:val="center"/>
              <w:rPr>
                <w:sz w:val="28"/>
                <w:szCs w:val="28"/>
                <w:highlight w:val="none"/>
              </w:rPr>
            </w:pPr>
            <w:r>
              <w:rPr>
                <w:spacing w:val="-3"/>
                <w:sz w:val="28"/>
                <w:szCs w:val="28"/>
                <w:highlight w:val="none"/>
              </w:rPr>
              <w:t>20分/个</w:t>
            </w:r>
          </w:p>
        </w:tc>
        <w:tc>
          <w:tcPr>
            <w:tcW w:w="1699" w:type="dxa"/>
            <w:vAlign w:val="top"/>
          </w:tcPr>
          <w:p w14:paraId="06D72ED1">
            <w:pPr>
              <w:rPr>
                <w:rFonts w:ascii="Arial"/>
                <w:sz w:val="21"/>
                <w:highlight w:val="none"/>
              </w:rPr>
            </w:pPr>
          </w:p>
        </w:tc>
        <w:tc>
          <w:tcPr>
            <w:tcW w:w="1704" w:type="dxa"/>
            <w:vAlign w:val="top"/>
          </w:tcPr>
          <w:p w14:paraId="3EFA2608">
            <w:pPr>
              <w:rPr>
                <w:rFonts w:ascii="Arial"/>
                <w:sz w:val="21"/>
                <w:highlight w:val="none"/>
              </w:rPr>
            </w:pPr>
          </w:p>
        </w:tc>
      </w:tr>
      <w:tr w14:paraId="1152E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952" w:type="dxa"/>
            <w:tcBorders>
              <w:bottom w:val="single" w:color="auto" w:sz="4" w:space="0"/>
            </w:tcBorders>
            <w:vAlign w:val="top"/>
          </w:tcPr>
          <w:p w14:paraId="3A3E0BF3">
            <w:pPr>
              <w:spacing w:line="241" w:lineRule="auto"/>
              <w:jc w:val="center"/>
              <w:rPr>
                <w:rFonts w:ascii="Arial"/>
                <w:sz w:val="21"/>
                <w:highlight w:val="none"/>
              </w:rPr>
            </w:pPr>
          </w:p>
          <w:p w14:paraId="48415E65">
            <w:pPr>
              <w:pStyle w:val="18"/>
              <w:spacing w:before="91" w:line="222" w:lineRule="auto"/>
              <w:jc w:val="center"/>
              <w:rPr>
                <w:rFonts w:hint="default" w:eastAsia="仿宋"/>
                <w:sz w:val="28"/>
                <w:szCs w:val="28"/>
                <w:highlight w:val="none"/>
                <w:lang w:val="en-US" w:eastAsia="zh-CN"/>
              </w:rPr>
            </w:pPr>
            <w:r>
              <w:rPr>
                <w:rFonts w:hint="eastAsia"/>
                <w:b/>
                <w:bCs/>
                <w:spacing w:val="-6"/>
                <w:sz w:val="28"/>
                <w:szCs w:val="28"/>
                <w:highlight w:val="none"/>
                <w:lang w:val="en-US" w:eastAsia="zh-CN"/>
              </w:rPr>
              <w:t>有害垃圾分类</w:t>
            </w:r>
          </w:p>
        </w:tc>
        <w:tc>
          <w:tcPr>
            <w:tcW w:w="2791" w:type="dxa"/>
            <w:tcBorders>
              <w:bottom w:val="single" w:color="auto" w:sz="4" w:space="0"/>
            </w:tcBorders>
            <w:vAlign w:val="top"/>
          </w:tcPr>
          <w:p w14:paraId="10ADEF3A">
            <w:pPr>
              <w:pStyle w:val="18"/>
              <w:spacing w:before="127" w:line="231" w:lineRule="auto"/>
              <w:ind w:left="16" w:right="2" w:firstLine="1"/>
              <w:rPr>
                <w:sz w:val="28"/>
                <w:szCs w:val="28"/>
                <w:highlight w:val="none"/>
              </w:rPr>
            </w:pPr>
            <w:r>
              <w:rPr>
                <w:spacing w:val="27"/>
                <w:sz w:val="28"/>
                <w:szCs w:val="28"/>
                <w:highlight w:val="none"/>
              </w:rPr>
              <w:t>任意部位垂直投影接</w:t>
            </w:r>
            <w:r>
              <w:rPr>
                <w:spacing w:val="-3"/>
                <w:sz w:val="28"/>
                <w:szCs w:val="28"/>
                <w:highlight w:val="none"/>
              </w:rPr>
              <w:t>触处理中心</w:t>
            </w:r>
          </w:p>
        </w:tc>
        <w:tc>
          <w:tcPr>
            <w:tcW w:w="1415" w:type="dxa"/>
            <w:tcBorders>
              <w:bottom w:val="single" w:color="auto" w:sz="4" w:space="0"/>
            </w:tcBorders>
            <w:vAlign w:val="top"/>
          </w:tcPr>
          <w:p w14:paraId="5D1AA44C">
            <w:pPr>
              <w:pStyle w:val="18"/>
              <w:spacing w:before="309" w:line="224" w:lineRule="auto"/>
              <w:ind w:left="17"/>
              <w:jc w:val="center"/>
              <w:rPr>
                <w:sz w:val="28"/>
                <w:szCs w:val="28"/>
                <w:highlight w:val="none"/>
              </w:rPr>
            </w:pPr>
            <w:r>
              <w:rPr>
                <w:spacing w:val="-4"/>
                <w:sz w:val="28"/>
                <w:szCs w:val="28"/>
                <w:highlight w:val="none"/>
              </w:rPr>
              <w:t>5分/个</w:t>
            </w:r>
          </w:p>
        </w:tc>
        <w:tc>
          <w:tcPr>
            <w:tcW w:w="1699" w:type="dxa"/>
            <w:tcBorders>
              <w:bottom w:val="single" w:color="auto" w:sz="4" w:space="0"/>
            </w:tcBorders>
            <w:vAlign w:val="top"/>
          </w:tcPr>
          <w:p w14:paraId="4B77EEF7">
            <w:pPr>
              <w:rPr>
                <w:rFonts w:ascii="Arial"/>
                <w:sz w:val="21"/>
                <w:highlight w:val="none"/>
              </w:rPr>
            </w:pPr>
          </w:p>
        </w:tc>
        <w:tc>
          <w:tcPr>
            <w:tcW w:w="1704" w:type="dxa"/>
            <w:tcBorders>
              <w:bottom w:val="single" w:color="auto" w:sz="4" w:space="0"/>
            </w:tcBorders>
            <w:vAlign w:val="top"/>
          </w:tcPr>
          <w:p w14:paraId="1971D562">
            <w:pPr>
              <w:rPr>
                <w:rFonts w:ascii="Arial"/>
                <w:sz w:val="21"/>
                <w:highlight w:val="none"/>
              </w:rPr>
            </w:pPr>
          </w:p>
        </w:tc>
      </w:tr>
      <w:tr w14:paraId="3A961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952" w:type="dxa"/>
            <w:tcBorders>
              <w:top w:val="single" w:color="auto" w:sz="4" w:space="0"/>
              <w:left w:val="single" w:color="auto" w:sz="4" w:space="0"/>
              <w:bottom w:val="single" w:color="auto" w:sz="4" w:space="0"/>
              <w:right w:val="single" w:color="auto" w:sz="4" w:space="0"/>
            </w:tcBorders>
            <w:vAlign w:val="top"/>
          </w:tcPr>
          <w:p w14:paraId="0C92C2C5">
            <w:pPr>
              <w:pStyle w:val="18"/>
              <w:spacing w:before="121" w:line="224" w:lineRule="auto"/>
              <w:ind w:left="23"/>
              <w:jc w:val="center"/>
              <w:rPr>
                <w:rFonts w:hint="default" w:eastAsia="仿宋"/>
                <w:sz w:val="28"/>
                <w:szCs w:val="28"/>
                <w:highlight w:val="none"/>
                <w:lang w:val="en-US" w:eastAsia="zh-CN"/>
              </w:rPr>
            </w:pPr>
            <w:r>
              <w:rPr>
                <w:rFonts w:hint="eastAsia"/>
                <w:b/>
                <w:bCs/>
                <w:spacing w:val="-6"/>
                <w:sz w:val="28"/>
                <w:szCs w:val="28"/>
                <w:highlight w:val="none"/>
                <w:lang w:val="en-US" w:eastAsia="zh-CN"/>
              </w:rPr>
              <w:t>可回收垃圾分类</w:t>
            </w:r>
          </w:p>
        </w:tc>
        <w:tc>
          <w:tcPr>
            <w:tcW w:w="2791" w:type="dxa"/>
            <w:tcBorders>
              <w:top w:val="single" w:color="auto" w:sz="4" w:space="0"/>
              <w:left w:val="single" w:color="auto" w:sz="4" w:space="0"/>
              <w:bottom w:val="single" w:color="auto" w:sz="4" w:space="0"/>
              <w:right w:val="single" w:color="auto" w:sz="4" w:space="0"/>
            </w:tcBorders>
            <w:vAlign w:val="top"/>
          </w:tcPr>
          <w:p w14:paraId="26B236B5">
            <w:pPr>
              <w:pStyle w:val="18"/>
              <w:spacing w:before="122" w:line="223" w:lineRule="auto"/>
              <w:ind w:left="32"/>
              <w:rPr>
                <w:sz w:val="28"/>
                <w:szCs w:val="28"/>
                <w:highlight w:val="none"/>
              </w:rPr>
            </w:pPr>
            <w:r>
              <w:rPr>
                <w:spacing w:val="-5"/>
                <w:sz w:val="28"/>
                <w:szCs w:val="28"/>
                <w:highlight w:val="none"/>
              </w:rPr>
              <w:t>两个</w:t>
            </w:r>
            <w:r>
              <w:rPr>
                <w:rFonts w:hint="eastAsia"/>
                <w:spacing w:val="-5"/>
                <w:sz w:val="28"/>
                <w:szCs w:val="28"/>
                <w:highlight w:val="none"/>
                <w:lang w:val="en-US" w:eastAsia="zh-CN"/>
              </w:rPr>
              <w:t>不同颜色的模型</w:t>
            </w:r>
            <w:r>
              <w:rPr>
                <w:spacing w:val="-5"/>
                <w:sz w:val="28"/>
                <w:szCs w:val="28"/>
                <w:highlight w:val="none"/>
              </w:rPr>
              <w:t>为一组</w:t>
            </w:r>
          </w:p>
        </w:tc>
        <w:tc>
          <w:tcPr>
            <w:tcW w:w="1415" w:type="dxa"/>
            <w:tcBorders>
              <w:top w:val="single" w:color="auto" w:sz="4" w:space="0"/>
              <w:left w:val="single" w:color="auto" w:sz="4" w:space="0"/>
              <w:bottom w:val="single" w:color="auto" w:sz="4" w:space="0"/>
              <w:right w:val="single" w:color="auto" w:sz="4" w:space="0"/>
            </w:tcBorders>
            <w:vAlign w:val="top"/>
          </w:tcPr>
          <w:p w14:paraId="02978CDC">
            <w:pPr>
              <w:pStyle w:val="18"/>
              <w:spacing w:before="122" w:line="224" w:lineRule="auto"/>
              <w:ind w:left="33"/>
              <w:jc w:val="center"/>
              <w:rPr>
                <w:sz w:val="28"/>
                <w:szCs w:val="28"/>
                <w:highlight w:val="none"/>
              </w:rPr>
            </w:pPr>
            <w:r>
              <w:rPr>
                <w:spacing w:val="-6"/>
                <w:sz w:val="28"/>
                <w:szCs w:val="28"/>
                <w:highlight w:val="none"/>
              </w:rPr>
              <w:t>10分/组</w:t>
            </w:r>
          </w:p>
        </w:tc>
        <w:tc>
          <w:tcPr>
            <w:tcW w:w="1699" w:type="dxa"/>
            <w:tcBorders>
              <w:top w:val="single" w:color="auto" w:sz="4" w:space="0"/>
              <w:left w:val="single" w:color="auto" w:sz="4" w:space="0"/>
              <w:bottom w:val="single" w:color="auto" w:sz="4" w:space="0"/>
              <w:right w:val="single" w:color="auto" w:sz="4" w:space="0"/>
            </w:tcBorders>
            <w:vAlign w:val="top"/>
          </w:tcPr>
          <w:p w14:paraId="75243B53">
            <w:pPr>
              <w:rPr>
                <w:rFonts w:ascii="Arial"/>
                <w:sz w:val="21"/>
                <w:highlight w:val="none"/>
              </w:rPr>
            </w:pPr>
          </w:p>
        </w:tc>
        <w:tc>
          <w:tcPr>
            <w:tcW w:w="1704" w:type="dxa"/>
            <w:tcBorders>
              <w:top w:val="single" w:color="auto" w:sz="4" w:space="0"/>
              <w:left w:val="single" w:color="auto" w:sz="4" w:space="0"/>
              <w:bottom w:val="single" w:color="auto" w:sz="4" w:space="0"/>
              <w:right w:val="single" w:color="auto" w:sz="4" w:space="0"/>
            </w:tcBorders>
            <w:vAlign w:val="top"/>
          </w:tcPr>
          <w:p w14:paraId="57D04DE0">
            <w:pPr>
              <w:rPr>
                <w:rFonts w:ascii="Arial"/>
                <w:sz w:val="21"/>
                <w:highlight w:val="none"/>
              </w:rPr>
            </w:pPr>
          </w:p>
        </w:tc>
      </w:tr>
      <w:tr w14:paraId="400E6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952" w:type="dxa"/>
            <w:vMerge w:val="restart"/>
            <w:tcBorders>
              <w:top w:val="single" w:color="auto" w:sz="4" w:space="0"/>
              <w:bottom w:val="nil"/>
            </w:tcBorders>
            <w:vAlign w:val="top"/>
          </w:tcPr>
          <w:p w14:paraId="124F2BCB">
            <w:pPr>
              <w:spacing w:line="242" w:lineRule="auto"/>
              <w:jc w:val="center"/>
              <w:rPr>
                <w:rFonts w:ascii="Arial"/>
                <w:sz w:val="21"/>
                <w:highlight w:val="none"/>
              </w:rPr>
            </w:pPr>
          </w:p>
          <w:p w14:paraId="6AEF6689">
            <w:pPr>
              <w:spacing w:line="242" w:lineRule="auto"/>
              <w:jc w:val="center"/>
              <w:rPr>
                <w:rFonts w:ascii="Arial"/>
                <w:sz w:val="21"/>
                <w:highlight w:val="none"/>
              </w:rPr>
            </w:pPr>
          </w:p>
          <w:p w14:paraId="4BD06F4F">
            <w:pPr>
              <w:pStyle w:val="18"/>
              <w:spacing w:before="91" w:line="224" w:lineRule="auto"/>
              <w:ind w:left="32"/>
              <w:jc w:val="center"/>
              <w:rPr>
                <w:rFonts w:hint="eastAsia" w:eastAsia="仿宋"/>
                <w:sz w:val="28"/>
                <w:szCs w:val="28"/>
                <w:highlight w:val="none"/>
                <w:lang w:eastAsia="zh-CN"/>
              </w:rPr>
            </w:pPr>
            <w:r>
              <w:rPr>
                <w:b/>
                <w:bCs/>
                <w:spacing w:val="-8"/>
                <w:sz w:val="28"/>
                <w:szCs w:val="28"/>
                <w:highlight w:val="none"/>
              </w:rPr>
              <w:t>重返</w:t>
            </w:r>
            <w:r>
              <w:rPr>
                <w:rFonts w:hint="eastAsia"/>
                <w:b/>
                <w:bCs/>
                <w:spacing w:val="-8"/>
                <w:sz w:val="28"/>
                <w:szCs w:val="28"/>
                <w:highlight w:val="none"/>
                <w:lang w:val="en-US" w:eastAsia="zh-CN"/>
              </w:rPr>
              <w:t>启动区</w:t>
            </w:r>
          </w:p>
        </w:tc>
        <w:tc>
          <w:tcPr>
            <w:tcW w:w="2791" w:type="dxa"/>
            <w:tcBorders>
              <w:top w:val="single" w:color="auto" w:sz="4" w:space="0"/>
            </w:tcBorders>
            <w:vAlign w:val="top"/>
          </w:tcPr>
          <w:p w14:paraId="5D27D637">
            <w:pPr>
              <w:pStyle w:val="18"/>
              <w:spacing w:before="121" w:line="224" w:lineRule="auto"/>
              <w:ind w:left="26"/>
              <w:rPr>
                <w:sz w:val="28"/>
                <w:szCs w:val="28"/>
                <w:highlight w:val="none"/>
              </w:rPr>
            </w:pPr>
            <w:r>
              <w:rPr>
                <w:spacing w:val="-4"/>
                <w:sz w:val="28"/>
                <w:szCs w:val="28"/>
                <w:highlight w:val="none"/>
              </w:rPr>
              <w:t>垂直投影完全进入</w:t>
            </w:r>
          </w:p>
        </w:tc>
        <w:tc>
          <w:tcPr>
            <w:tcW w:w="1415" w:type="dxa"/>
            <w:tcBorders>
              <w:top w:val="single" w:color="auto" w:sz="4" w:space="0"/>
            </w:tcBorders>
            <w:vAlign w:val="top"/>
          </w:tcPr>
          <w:p w14:paraId="768BA2A7">
            <w:pPr>
              <w:pStyle w:val="18"/>
              <w:spacing w:before="121" w:line="222" w:lineRule="auto"/>
              <w:ind w:left="15"/>
              <w:jc w:val="center"/>
              <w:rPr>
                <w:sz w:val="28"/>
                <w:szCs w:val="28"/>
                <w:highlight w:val="none"/>
              </w:rPr>
            </w:pPr>
            <w:r>
              <w:rPr>
                <w:spacing w:val="-3"/>
                <w:sz w:val="28"/>
                <w:szCs w:val="28"/>
                <w:highlight w:val="none"/>
              </w:rPr>
              <w:t>20分/台</w:t>
            </w:r>
          </w:p>
        </w:tc>
        <w:tc>
          <w:tcPr>
            <w:tcW w:w="1699" w:type="dxa"/>
            <w:tcBorders>
              <w:top w:val="single" w:color="auto" w:sz="4" w:space="0"/>
            </w:tcBorders>
            <w:vAlign w:val="top"/>
          </w:tcPr>
          <w:p w14:paraId="3427650B">
            <w:pPr>
              <w:rPr>
                <w:rFonts w:ascii="Arial"/>
                <w:sz w:val="21"/>
                <w:highlight w:val="none"/>
              </w:rPr>
            </w:pPr>
          </w:p>
        </w:tc>
        <w:tc>
          <w:tcPr>
            <w:tcW w:w="1704" w:type="dxa"/>
            <w:tcBorders>
              <w:top w:val="single" w:color="auto" w:sz="4" w:space="0"/>
            </w:tcBorders>
            <w:vAlign w:val="top"/>
          </w:tcPr>
          <w:p w14:paraId="65655D6C">
            <w:pPr>
              <w:rPr>
                <w:rFonts w:ascii="Arial"/>
                <w:sz w:val="21"/>
                <w:highlight w:val="none"/>
              </w:rPr>
            </w:pPr>
          </w:p>
        </w:tc>
      </w:tr>
      <w:tr w14:paraId="670C7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952" w:type="dxa"/>
            <w:vMerge w:val="continue"/>
            <w:tcBorders>
              <w:top w:val="nil"/>
            </w:tcBorders>
            <w:vAlign w:val="top"/>
          </w:tcPr>
          <w:p w14:paraId="5332CC30">
            <w:pPr>
              <w:rPr>
                <w:rFonts w:ascii="Arial"/>
                <w:sz w:val="21"/>
                <w:highlight w:val="none"/>
              </w:rPr>
            </w:pPr>
          </w:p>
        </w:tc>
        <w:tc>
          <w:tcPr>
            <w:tcW w:w="2791" w:type="dxa"/>
            <w:vAlign w:val="top"/>
          </w:tcPr>
          <w:p w14:paraId="79156265">
            <w:pPr>
              <w:pStyle w:val="18"/>
              <w:spacing w:before="129" w:line="232" w:lineRule="auto"/>
              <w:ind w:left="26" w:right="2" w:hanging="8"/>
              <w:rPr>
                <w:sz w:val="28"/>
                <w:szCs w:val="28"/>
                <w:highlight w:val="none"/>
              </w:rPr>
            </w:pPr>
            <w:r>
              <w:rPr>
                <w:spacing w:val="27"/>
                <w:sz w:val="28"/>
                <w:szCs w:val="28"/>
                <w:highlight w:val="none"/>
              </w:rPr>
              <w:t>任意部位垂直投影压</w:t>
            </w:r>
            <w:r>
              <w:rPr>
                <w:spacing w:val="-7"/>
                <w:sz w:val="28"/>
                <w:szCs w:val="28"/>
                <w:highlight w:val="none"/>
              </w:rPr>
              <w:t>线或超出</w:t>
            </w:r>
          </w:p>
        </w:tc>
        <w:tc>
          <w:tcPr>
            <w:tcW w:w="1415" w:type="dxa"/>
            <w:vAlign w:val="top"/>
          </w:tcPr>
          <w:p w14:paraId="370D94EA">
            <w:pPr>
              <w:pStyle w:val="18"/>
              <w:spacing w:before="310" w:line="222" w:lineRule="auto"/>
              <w:ind w:left="33"/>
              <w:jc w:val="center"/>
              <w:rPr>
                <w:sz w:val="28"/>
                <w:szCs w:val="28"/>
                <w:highlight w:val="none"/>
              </w:rPr>
            </w:pPr>
            <w:r>
              <w:rPr>
                <w:spacing w:val="-6"/>
                <w:sz w:val="28"/>
                <w:szCs w:val="28"/>
                <w:highlight w:val="none"/>
              </w:rPr>
              <w:t>10分/台</w:t>
            </w:r>
          </w:p>
        </w:tc>
        <w:tc>
          <w:tcPr>
            <w:tcW w:w="1699" w:type="dxa"/>
            <w:vAlign w:val="top"/>
          </w:tcPr>
          <w:p w14:paraId="6695921E">
            <w:pPr>
              <w:rPr>
                <w:rFonts w:ascii="Arial"/>
                <w:sz w:val="21"/>
                <w:highlight w:val="none"/>
              </w:rPr>
            </w:pPr>
          </w:p>
        </w:tc>
        <w:tc>
          <w:tcPr>
            <w:tcW w:w="1704" w:type="dxa"/>
            <w:vAlign w:val="top"/>
          </w:tcPr>
          <w:p w14:paraId="57F25CA9">
            <w:pPr>
              <w:rPr>
                <w:rFonts w:ascii="Arial"/>
                <w:sz w:val="21"/>
                <w:highlight w:val="none"/>
              </w:rPr>
            </w:pPr>
          </w:p>
        </w:tc>
      </w:tr>
      <w:tr w14:paraId="64AC8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9561" w:type="dxa"/>
            <w:gridSpan w:val="5"/>
            <w:shd w:val="clear" w:color="auto" w:fill="F2F2F2"/>
            <w:vAlign w:val="top"/>
          </w:tcPr>
          <w:p w14:paraId="584EBD19">
            <w:pPr>
              <w:rPr>
                <w:rFonts w:ascii="Arial"/>
                <w:sz w:val="21"/>
                <w:highlight w:val="none"/>
              </w:rPr>
            </w:pPr>
          </w:p>
        </w:tc>
      </w:tr>
      <w:tr w14:paraId="43AAD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6158" w:type="dxa"/>
            <w:gridSpan w:val="3"/>
            <w:vAlign w:val="top"/>
          </w:tcPr>
          <w:p w14:paraId="1707FE9F">
            <w:pPr>
              <w:pStyle w:val="18"/>
              <w:spacing w:before="125" w:line="224" w:lineRule="auto"/>
              <w:ind w:left="32"/>
              <w:rPr>
                <w:sz w:val="28"/>
                <w:szCs w:val="28"/>
                <w:highlight w:val="none"/>
              </w:rPr>
            </w:pPr>
            <w:r>
              <w:rPr>
                <w:spacing w:val="-3"/>
                <w:sz w:val="28"/>
                <w:szCs w:val="28"/>
                <w:highlight w:val="none"/>
              </w:rPr>
              <w:t>重置次数（-5分/次）</w:t>
            </w:r>
          </w:p>
        </w:tc>
        <w:tc>
          <w:tcPr>
            <w:tcW w:w="1699" w:type="dxa"/>
            <w:vAlign w:val="top"/>
          </w:tcPr>
          <w:p w14:paraId="70D0D283">
            <w:pPr>
              <w:rPr>
                <w:rFonts w:ascii="Arial"/>
                <w:sz w:val="21"/>
                <w:highlight w:val="none"/>
              </w:rPr>
            </w:pPr>
          </w:p>
        </w:tc>
        <w:tc>
          <w:tcPr>
            <w:tcW w:w="1704" w:type="dxa"/>
            <w:vAlign w:val="top"/>
          </w:tcPr>
          <w:p w14:paraId="76914EBC">
            <w:pPr>
              <w:rPr>
                <w:rFonts w:ascii="Arial"/>
                <w:sz w:val="21"/>
                <w:highlight w:val="none"/>
              </w:rPr>
            </w:pPr>
          </w:p>
        </w:tc>
      </w:tr>
      <w:tr w14:paraId="34999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6158" w:type="dxa"/>
            <w:gridSpan w:val="3"/>
            <w:vAlign w:val="top"/>
          </w:tcPr>
          <w:p w14:paraId="14223552">
            <w:pPr>
              <w:pStyle w:val="18"/>
              <w:spacing w:before="128" w:line="220" w:lineRule="auto"/>
              <w:ind w:left="29"/>
              <w:rPr>
                <w:sz w:val="28"/>
                <w:szCs w:val="28"/>
                <w:highlight w:val="none"/>
              </w:rPr>
            </w:pPr>
            <w:r>
              <w:rPr>
                <w:spacing w:val="-4"/>
                <w:sz w:val="28"/>
                <w:szCs w:val="28"/>
                <w:highlight w:val="none"/>
              </w:rPr>
              <w:t>单轮任务得分</w:t>
            </w:r>
          </w:p>
        </w:tc>
        <w:tc>
          <w:tcPr>
            <w:tcW w:w="1699" w:type="dxa"/>
            <w:vAlign w:val="top"/>
          </w:tcPr>
          <w:p w14:paraId="5D24E434">
            <w:pPr>
              <w:rPr>
                <w:rFonts w:ascii="Arial"/>
                <w:sz w:val="21"/>
                <w:highlight w:val="none"/>
              </w:rPr>
            </w:pPr>
          </w:p>
        </w:tc>
        <w:tc>
          <w:tcPr>
            <w:tcW w:w="1704" w:type="dxa"/>
            <w:vAlign w:val="top"/>
          </w:tcPr>
          <w:p w14:paraId="1F196FE3">
            <w:pPr>
              <w:rPr>
                <w:rFonts w:ascii="Arial"/>
                <w:sz w:val="21"/>
                <w:highlight w:val="none"/>
              </w:rPr>
            </w:pPr>
          </w:p>
        </w:tc>
      </w:tr>
      <w:tr w14:paraId="1E941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6158" w:type="dxa"/>
            <w:gridSpan w:val="3"/>
            <w:vAlign w:val="top"/>
          </w:tcPr>
          <w:p w14:paraId="76078294">
            <w:pPr>
              <w:pStyle w:val="18"/>
              <w:spacing w:before="127" w:line="220" w:lineRule="auto"/>
              <w:ind w:left="29"/>
              <w:rPr>
                <w:sz w:val="28"/>
                <w:szCs w:val="28"/>
                <w:highlight w:val="none"/>
              </w:rPr>
            </w:pPr>
            <w:r>
              <w:rPr>
                <w:spacing w:val="-4"/>
                <w:sz w:val="28"/>
                <w:szCs w:val="28"/>
                <w:highlight w:val="none"/>
              </w:rPr>
              <w:t>单轮完成时间</w:t>
            </w:r>
          </w:p>
        </w:tc>
        <w:tc>
          <w:tcPr>
            <w:tcW w:w="1699" w:type="dxa"/>
            <w:vAlign w:val="top"/>
          </w:tcPr>
          <w:p w14:paraId="0AEA43B4">
            <w:pPr>
              <w:rPr>
                <w:rFonts w:ascii="Arial"/>
                <w:sz w:val="21"/>
                <w:highlight w:val="none"/>
              </w:rPr>
            </w:pPr>
          </w:p>
        </w:tc>
        <w:tc>
          <w:tcPr>
            <w:tcW w:w="1704" w:type="dxa"/>
            <w:vAlign w:val="top"/>
          </w:tcPr>
          <w:p w14:paraId="1C0A68B4">
            <w:pPr>
              <w:rPr>
                <w:rFonts w:ascii="Arial"/>
                <w:sz w:val="21"/>
                <w:highlight w:val="none"/>
              </w:rPr>
            </w:pPr>
          </w:p>
        </w:tc>
      </w:tr>
      <w:tr w14:paraId="750EA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6158" w:type="dxa"/>
            <w:gridSpan w:val="3"/>
            <w:vAlign w:val="top"/>
          </w:tcPr>
          <w:p w14:paraId="79262122">
            <w:pPr>
              <w:pStyle w:val="18"/>
              <w:spacing w:before="138" w:line="223" w:lineRule="auto"/>
              <w:ind w:left="31"/>
              <w:rPr>
                <w:sz w:val="28"/>
                <w:szCs w:val="28"/>
                <w:highlight w:val="none"/>
              </w:rPr>
            </w:pPr>
            <w:r>
              <w:rPr>
                <w:spacing w:val="-4"/>
                <w:sz w:val="28"/>
                <w:szCs w:val="28"/>
                <w:highlight w:val="none"/>
                <w:shd w:val="clear"/>
              </w:rPr>
              <w:t>最优得分及时间</w:t>
            </w:r>
          </w:p>
        </w:tc>
        <w:tc>
          <w:tcPr>
            <w:tcW w:w="1699" w:type="dxa"/>
            <w:vAlign w:val="top"/>
          </w:tcPr>
          <w:p w14:paraId="032466D0">
            <w:pPr>
              <w:rPr>
                <w:rFonts w:ascii="Arial"/>
                <w:sz w:val="21"/>
                <w:highlight w:val="none"/>
              </w:rPr>
            </w:pPr>
          </w:p>
        </w:tc>
        <w:tc>
          <w:tcPr>
            <w:tcW w:w="1704" w:type="dxa"/>
            <w:vAlign w:val="top"/>
          </w:tcPr>
          <w:p w14:paraId="23F8E9D9">
            <w:pPr>
              <w:rPr>
                <w:rFonts w:ascii="Arial"/>
                <w:sz w:val="21"/>
                <w:highlight w:val="none"/>
              </w:rPr>
            </w:pPr>
          </w:p>
        </w:tc>
      </w:tr>
    </w:tbl>
    <w:p w14:paraId="192021F1">
      <w:pPr>
        <w:spacing w:line="312" w:lineRule="auto"/>
        <w:rPr>
          <w:rFonts w:ascii="Arial"/>
          <w:sz w:val="21"/>
          <w:highlight w:val="none"/>
        </w:rPr>
      </w:pPr>
    </w:p>
    <w:p w14:paraId="2F96710C">
      <w:pPr>
        <w:pStyle w:val="11"/>
        <w:widowControl/>
        <w:rPr>
          <w:rFonts w:hint="eastAsia" w:eastAsia="仿宋"/>
          <w:highlight w:val="none"/>
          <w:lang w:eastAsia="zh-CN"/>
        </w:rPr>
      </w:pPr>
      <w:r>
        <w:rPr>
          <w:highlight w:val="none"/>
        </w:rPr>
        <w:t>裁判员：参与队员：</w:t>
      </w:r>
    </w:p>
    <w:p w14:paraId="2A26CBAA">
      <w:pPr>
        <w:spacing w:line="295" w:lineRule="auto"/>
        <w:rPr>
          <w:rFonts w:ascii="Arial"/>
          <w:sz w:val="21"/>
          <w:highlight w:val="none"/>
        </w:rPr>
      </w:pPr>
    </w:p>
    <w:p w14:paraId="6D6E3A2D">
      <w:pPr>
        <w:pStyle w:val="11"/>
        <w:widowControl/>
        <w:rPr>
          <w:rFonts w:hint="eastAsia" w:eastAsia="仿宋"/>
          <w:highlight w:val="none"/>
          <w:lang w:eastAsia="zh-CN"/>
        </w:rPr>
      </w:pPr>
      <w:r>
        <w:rPr>
          <w:highlight w:val="none"/>
        </w:rPr>
        <w:t>项目裁判长：总裁判长：</w:t>
      </w:r>
      <w:bookmarkStart w:id="2" w:name="_GoBack"/>
      <w:bookmarkEnd w:id="2"/>
    </w:p>
    <w:sectPr>
      <w:pgSz w:w="11906" w:h="16840"/>
      <w:pgMar w:top="400" w:right="1236" w:bottom="0" w:left="1099"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3572">
    <w:pPr>
      <w:pStyle w:val="12"/>
    </w:pPr>
  </w:p>
  <w:p w14:paraId="5ABF429D">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325216">
                          <w:pPr>
                            <w:pStyle w:val="12"/>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12</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325216">
                    <w:pPr>
                      <w:pStyle w:val="12"/>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12</w:t>
                    </w:r>
                    <w:r>
                      <w:fldChar w:fldCharType="end"/>
                    </w:r>
                    <w: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25378">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C23306"/>
    <w:multiLevelType w:val="singleLevel"/>
    <w:tmpl w:val="A8C23306"/>
    <w:lvl w:ilvl="0" w:tentative="0">
      <w:start w:val="1"/>
      <w:numFmt w:val="chineseCounting"/>
      <w:suff w:val="nothing"/>
      <w:lvlText w:val="（%1）"/>
      <w:lvlJc w:val="left"/>
      <w:pPr>
        <w:ind w:left="0" w:firstLine="420"/>
      </w:pPr>
      <w:rPr>
        <w:rFonts w:hint="eastAsia"/>
      </w:rPr>
    </w:lvl>
  </w:abstractNum>
  <w:abstractNum w:abstractNumId="1">
    <w:nsid w:val="B4D4F86E"/>
    <w:multiLevelType w:val="singleLevel"/>
    <w:tmpl w:val="B4D4F86E"/>
    <w:lvl w:ilvl="0" w:tentative="0">
      <w:start w:val="1"/>
      <w:numFmt w:val="decimal"/>
      <w:suff w:val="nothing"/>
      <w:lvlText w:val="（%1）"/>
      <w:lvlJc w:val="left"/>
    </w:lvl>
  </w:abstractNum>
  <w:abstractNum w:abstractNumId="2">
    <w:nsid w:val="CDC02498"/>
    <w:multiLevelType w:val="singleLevel"/>
    <w:tmpl w:val="CDC02498"/>
    <w:lvl w:ilvl="0" w:tentative="0">
      <w:start w:val="1"/>
      <w:numFmt w:val="chineseCounting"/>
      <w:suff w:val="nothing"/>
      <w:lvlText w:val="（%1）"/>
      <w:lvlJc w:val="left"/>
      <w:pPr>
        <w:ind w:left="0" w:firstLine="640"/>
      </w:pPr>
      <w:rPr>
        <w:rFonts w:hint="eastAsia"/>
      </w:rPr>
    </w:lvl>
  </w:abstractNum>
  <w:abstractNum w:abstractNumId="3">
    <w:nsid w:val="D0859BCB"/>
    <w:multiLevelType w:val="singleLevel"/>
    <w:tmpl w:val="D0859BCB"/>
    <w:lvl w:ilvl="0" w:tentative="0">
      <w:start w:val="1"/>
      <w:numFmt w:val="chineseCounting"/>
      <w:suff w:val="nothing"/>
      <w:lvlText w:val="（%1）"/>
      <w:lvlJc w:val="left"/>
      <w:pPr>
        <w:ind w:left="0" w:firstLine="420"/>
      </w:pPr>
      <w:rPr>
        <w:rFonts w:hint="eastAsia"/>
      </w:rPr>
    </w:lvl>
  </w:abstractNum>
  <w:abstractNum w:abstractNumId="4">
    <w:nsid w:val="F3FF3035"/>
    <w:multiLevelType w:val="singleLevel"/>
    <w:tmpl w:val="F3FF3035"/>
    <w:lvl w:ilvl="0" w:tentative="0">
      <w:start w:val="1"/>
      <w:numFmt w:val="decimal"/>
      <w:suff w:val="nothing"/>
      <w:lvlText w:val="（%1）"/>
      <w:lvlJc w:val="left"/>
    </w:lvl>
  </w:abstractNum>
  <w:abstractNum w:abstractNumId="5">
    <w:nsid w:val="FC8710F5"/>
    <w:multiLevelType w:val="singleLevel"/>
    <w:tmpl w:val="FC8710F5"/>
    <w:lvl w:ilvl="0" w:tentative="0">
      <w:start w:val="1"/>
      <w:numFmt w:val="decimal"/>
      <w:suff w:val="nothing"/>
      <w:lvlText w:val="%1．"/>
      <w:lvlJc w:val="left"/>
      <w:pPr>
        <w:ind w:left="0" w:firstLine="400"/>
      </w:pPr>
      <w:rPr>
        <w:rFonts w:hint="default"/>
      </w:rPr>
    </w:lvl>
  </w:abstractNum>
  <w:abstractNum w:abstractNumId="6">
    <w:nsid w:val="16C59F36"/>
    <w:multiLevelType w:val="singleLevel"/>
    <w:tmpl w:val="16C59F36"/>
    <w:lvl w:ilvl="0" w:tentative="0">
      <w:start w:val="1"/>
      <w:numFmt w:val="chineseCounting"/>
      <w:suff w:val="nothing"/>
      <w:lvlText w:val="（%1）"/>
      <w:lvlJc w:val="left"/>
      <w:pPr>
        <w:ind w:left="0" w:firstLine="640"/>
      </w:pPr>
      <w:rPr>
        <w:rFonts w:hint="eastAsia"/>
      </w:rPr>
    </w:lvl>
  </w:abstractNum>
  <w:abstractNum w:abstractNumId="7">
    <w:nsid w:val="2E493B98"/>
    <w:multiLevelType w:val="singleLevel"/>
    <w:tmpl w:val="2E493B98"/>
    <w:lvl w:ilvl="0" w:tentative="0">
      <w:start w:val="1"/>
      <w:numFmt w:val="chineseCounting"/>
      <w:suff w:val="nothing"/>
      <w:lvlText w:val="（%1）"/>
      <w:lvlJc w:val="left"/>
      <w:pPr>
        <w:ind w:left="0" w:firstLine="640"/>
      </w:pPr>
      <w:rPr>
        <w:rFonts w:hint="eastAsia"/>
      </w:rPr>
    </w:lvl>
  </w:abstractNum>
  <w:abstractNum w:abstractNumId="8">
    <w:nsid w:val="362CA69E"/>
    <w:multiLevelType w:val="singleLevel"/>
    <w:tmpl w:val="362CA69E"/>
    <w:lvl w:ilvl="0" w:tentative="0">
      <w:start w:val="1"/>
      <w:numFmt w:val="chineseCounting"/>
      <w:suff w:val="nothing"/>
      <w:lvlText w:val="（%1）"/>
      <w:lvlJc w:val="left"/>
      <w:pPr>
        <w:ind w:left="0" w:firstLine="640"/>
      </w:pPr>
      <w:rPr>
        <w:rFonts w:hint="eastAsia"/>
      </w:rPr>
    </w:lvl>
  </w:abstractNum>
  <w:abstractNum w:abstractNumId="9">
    <w:nsid w:val="377FA8D8"/>
    <w:multiLevelType w:val="singleLevel"/>
    <w:tmpl w:val="377FA8D8"/>
    <w:lvl w:ilvl="0" w:tentative="0">
      <w:start w:val="1"/>
      <w:numFmt w:val="decimal"/>
      <w:suff w:val="nothing"/>
      <w:lvlText w:val="（%1）"/>
      <w:lvlJc w:val="left"/>
    </w:lvl>
  </w:abstractNum>
  <w:abstractNum w:abstractNumId="10">
    <w:nsid w:val="5AA0E673"/>
    <w:multiLevelType w:val="singleLevel"/>
    <w:tmpl w:val="5AA0E673"/>
    <w:lvl w:ilvl="0" w:tentative="0">
      <w:start w:val="1"/>
      <w:numFmt w:val="decimal"/>
      <w:suff w:val="nothing"/>
      <w:lvlText w:val="%1．"/>
      <w:lvlJc w:val="left"/>
      <w:pPr>
        <w:ind w:left="0" w:firstLine="400"/>
      </w:pPr>
      <w:rPr>
        <w:rFonts w:hint="default"/>
      </w:rPr>
    </w:lvl>
  </w:abstractNum>
  <w:abstractNum w:abstractNumId="11">
    <w:nsid w:val="69B4B421"/>
    <w:multiLevelType w:val="singleLevel"/>
    <w:tmpl w:val="69B4B421"/>
    <w:lvl w:ilvl="0" w:tentative="0">
      <w:start w:val="1"/>
      <w:numFmt w:val="chineseCounting"/>
      <w:suff w:val="nothing"/>
      <w:lvlText w:val="%1、"/>
      <w:lvlJc w:val="left"/>
      <w:pPr>
        <w:ind w:left="0" w:firstLine="640"/>
      </w:pPr>
      <w:rPr>
        <w:rFonts w:hint="eastAsia"/>
      </w:rPr>
    </w:lvl>
  </w:abstractNum>
  <w:abstractNum w:abstractNumId="12">
    <w:nsid w:val="77ADFA4A"/>
    <w:multiLevelType w:val="singleLevel"/>
    <w:tmpl w:val="77ADFA4A"/>
    <w:lvl w:ilvl="0" w:tentative="0">
      <w:start w:val="1"/>
      <w:numFmt w:val="decimal"/>
      <w:suff w:val="nothing"/>
      <w:lvlText w:val="%1．"/>
      <w:lvlJc w:val="left"/>
      <w:pPr>
        <w:ind w:left="0" w:firstLine="400"/>
      </w:pPr>
      <w:rPr>
        <w:rFonts w:hint="default"/>
      </w:rPr>
    </w:lvl>
  </w:abstractNum>
  <w:num w:numId="1">
    <w:abstractNumId w:val="11"/>
  </w:num>
  <w:num w:numId="2">
    <w:abstractNumId w:val="7"/>
  </w:num>
  <w:num w:numId="3">
    <w:abstractNumId w:val="6"/>
  </w:num>
  <w:num w:numId="4">
    <w:abstractNumId w:val="2"/>
  </w:num>
  <w:num w:numId="5">
    <w:abstractNumId w:val="12"/>
  </w:num>
  <w:num w:numId="6">
    <w:abstractNumId w:val="9"/>
  </w:num>
  <w:num w:numId="7">
    <w:abstractNumId w:val="4"/>
  </w:num>
  <w:num w:numId="8">
    <w:abstractNumId w:val="1"/>
  </w:num>
  <w:num w:numId="9">
    <w:abstractNumId w:val="5"/>
  </w:num>
  <w:num w:numId="10">
    <w:abstractNumId w:val="3"/>
  </w:num>
  <w:num w:numId="11">
    <w:abstractNumId w:val="10"/>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352434"/>
    <w:rsid w:val="03247659"/>
    <w:rsid w:val="03BE6BB4"/>
    <w:rsid w:val="04E84DE3"/>
    <w:rsid w:val="04FA27AF"/>
    <w:rsid w:val="057228FE"/>
    <w:rsid w:val="07EC6998"/>
    <w:rsid w:val="083B347B"/>
    <w:rsid w:val="08935065"/>
    <w:rsid w:val="0AF34E9C"/>
    <w:rsid w:val="0C394176"/>
    <w:rsid w:val="0D305579"/>
    <w:rsid w:val="0D9A3091"/>
    <w:rsid w:val="149503B7"/>
    <w:rsid w:val="14F450DE"/>
    <w:rsid w:val="15235445"/>
    <w:rsid w:val="1A3F504D"/>
    <w:rsid w:val="1B28788F"/>
    <w:rsid w:val="1B7220B7"/>
    <w:rsid w:val="1B7C1635"/>
    <w:rsid w:val="1BBE1FA1"/>
    <w:rsid w:val="1F61475A"/>
    <w:rsid w:val="1F705CA9"/>
    <w:rsid w:val="1FAD383F"/>
    <w:rsid w:val="1FE04BDC"/>
    <w:rsid w:val="24172B97"/>
    <w:rsid w:val="28F15AF9"/>
    <w:rsid w:val="29477A7A"/>
    <w:rsid w:val="29EC23D0"/>
    <w:rsid w:val="2A9356B4"/>
    <w:rsid w:val="30ED53AB"/>
    <w:rsid w:val="324D5E95"/>
    <w:rsid w:val="32B75C71"/>
    <w:rsid w:val="32C71C2C"/>
    <w:rsid w:val="34A75871"/>
    <w:rsid w:val="35B93AAE"/>
    <w:rsid w:val="35F32813"/>
    <w:rsid w:val="36175617"/>
    <w:rsid w:val="36286165"/>
    <w:rsid w:val="38417D8A"/>
    <w:rsid w:val="3C8446EA"/>
    <w:rsid w:val="3E047890"/>
    <w:rsid w:val="3E6B5B61"/>
    <w:rsid w:val="40532D51"/>
    <w:rsid w:val="41BF31CC"/>
    <w:rsid w:val="42614472"/>
    <w:rsid w:val="42C972FA"/>
    <w:rsid w:val="42FD5DF4"/>
    <w:rsid w:val="430A74A2"/>
    <w:rsid w:val="43A538C3"/>
    <w:rsid w:val="43D745DA"/>
    <w:rsid w:val="44366AB6"/>
    <w:rsid w:val="44801C3A"/>
    <w:rsid w:val="4574179F"/>
    <w:rsid w:val="46E75FA1"/>
    <w:rsid w:val="476B0980"/>
    <w:rsid w:val="477E06B3"/>
    <w:rsid w:val="48B14AB8"/>
    <w:rsid w:val="48CE7418"/>
    <w:rsid w:val="48F75E6F"/>
    <w:rsid w:val="49DB0277"/>
    <w:rsid w:val="4A3712B9"/>
    <w:rsid w:val="4B1650A7"/>
    <w:rsid w:val="4B6F4BE6"/>
    <w:rsid w:val="4B781BB6"/>
    <w:rsid w:val="4BED4059"/>
    <w:rsid w:val="4ED67027"/>
    <w:rsid w:val="520133F3"/>
    <w:rsid w:val="54790B80"/>
    <w:rsid w:val="54B113D4"/>
    <w:rsid w:val="56854390"/>
    <w:rsid w:val="57160908"/>
    <w:rsid w:val="5844018D"/>
    <w:rsid w:val="5A8D7327"/>
    <w:rsid w:val="5AF820D3"/>
    <w:rsid w:val="5BA10ED9"/>
    <w:rsid w:val="5DB06C95"/>
    <w:rsid w:val="5E3A436C"/>
    <w:rsid w:val="60CE454E"/>
    <w:rsid w:val="641B6CD3"/>
    <w:rsid w:val="656C3DE9"/>
    <w:rsid w:val="65744A4C"/>
    <w:rsid w:val="666F593F"/>
    <w:rsid w:val="66D67BBC"/>
    <w:rsid w:val="67467D01"/>
    <w:rsid w:val="69482270"/>
    <w:rsid w:val="6AA86157"/>
    <w:rsid w:val="6BB9765C"/>
    <w:rsid w:val="6BBC2C7F"/>
    <w:rsid w:val="6CE45D81"/>
    <w:rsid w:val="6FF80036"/>
    <w:rsid w:val="70303219"/>
    <w:rsid w:val="70B37D44"/>
    <w:rsid w:val="717C7162"/>
    <w:rsid w:val="71D919CE"/>
    <w:rsid w:val="76AD7DBE"/>
    <w:rsid w:val="77667362"/>
    <w:rsid w:val="7856695F"/>
    <w:rsid w:val="7C417926"/>
    <w:rsid w:val="7C926B17"/>
    <w:rsid w:val="7E3565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0"/>
    </w:pPr>
    <w:rPr>
      <w:rFonts w:ascii="黑体" w:hAnsi="黑体" w:eastAsia="黑体" w:cs="黑体"/>
      <w:sz w:val="32"/>
      <w:szCs w:val="32"/>
    </w:rPr>
  </w:style>
  <w:style w:type="paragraph" w:styleId="3">
    <w:name w:val="heading 2"/>
    <w:next w:val="1"/>
    <w:unhideWhenUsed/>
    <w:qFormat/>
    <w:uiPriority w:val="0"/>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1"/>
    </w:pPr>
    <w:rPr>
      <w:rFonts w:ascii="楷体" w:hAnsi="楷体" w:eastAsia="楷体" w:cs="楷体"/>
      <w:sz w:val="32"/>
      <w:szCs w:val="32"/>
    </w:rPr>
  </w:style>
  <w:style w:type="paragraph" w:styleId="4">
    <w:name w:val="heading 3"/>
    <w:next w:val="1"/>
    <w:semiHidden/>
    <w:unhideWhenUsed/>
    <w:qFormat/>
    <w:uiPriority w:val="0"/>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Body Text"/>
    <w:semiHidden/>
    <w:qFormat/>
    <w:uiPriority w:val="0"/>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pPr>
    <w:rPr>
      <w:rFonts w:ascii="仿宋" w:hAnsi="Calibri" w:eastAsia="仿宋" w:cs="Times New Roman"/>
      <w:sz w:val="32"/>
    </w:rPr>
  </w:style>
  <w:style w:type="paragraph" w:styleId="12">
    <w:name w:val="footer"/>
    <w:basedOn w:val="1"/>
    <w:uiPriority w:val="0"/>
    <w:pPr>
      <w:tabs>
        <w:tab w:val="center" w:pos="4153"/>
        <w:tab w:val="right" w:pos="8306"/>
      </w:tabs>
      <w:snapToGrid w:val="0"/>
      <w:jc w:val="left"/>
    </w:pPr>
    <w:rPr>
      <w:sz w:val="18"/>
    </w:rPr>
  </w:style>
  <w:style w:type="paragraph" w:styleId="13">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4">
    <w:name w:val="Title"/>
    <w:qFormat/>
    <w:uiPriority w:val="0"/>
    <w:pPr>
      <w:keepNext w:val="0"/>
      <w:keepLines w:val="0"/>
      <w:pageBreakBefore w:val="0"/>
      <w:widowControl/>
      <w:kinsoku/>
      <w:wordWrap/>
      <w:overflowPunct/>
      <w:topLinePunct w:val="0"/>
      <w:autoSpaceDE/>
      <w:autoSpaceDN/>
      <w:bidi w:val="0"/>
      <w:adjustRightInd/>
      <w:spacing w:line="640" w:lineRule="exact"/>
      <w:jc w:val="center"/>
      <w:textAlignment w:val="auto"/>
      <w:outlineLvl w:val="9"/>
    </w:pPr>
    <w:rPr>
      <w:rFonts w:ascii="方正小标宋简体" w:hAnsi="方正小标宋简体" w:eastAsia="方正小标宋简体" w:cs="方正小标宋简体"/>
      <w:color w:val="000000"/>
      <w:kern w:val="0"/>
      <w:sz w:val="36"/>
      <w:szCs w:val="36"/>
      <w:lang w:bidi="ar"/>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仿宋" w:hAnsi="仿宋" w:eastAsia="仿宋" w:cs="仿宋"/>
      <w:sz w:val="24"/>
      <w:szCs w:val="24"/>
      <w:lang w:val="en-US" w:eastAsia="en-US" w:bidi="ar-SA"/>
    </w:rPr>
  </w:style>
  <w:style w:type="paragraph" w:customStyle="1" w:styleId="19">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b/>
      <w:color w:val="000000"/>
      <w:kern w:val="44"/>
      <w:sz w:val="36"/>
      <w:szCs w:val="44"/>
      <w:lang w:bidi="ar-SA"/>
    </w:rPr>
  </w:style>
  <w:style w:type="paragraph" w:customStyle="1" w:styleId="20">
    <w:name w:val="图片标题"/>
    <w:next w:val="1"/>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3004</Words>
  <Characters>3055</Characters>
  <TotalTime>4</TotalTime>
  <ScaleCrop>false</ScaleCrop>
  <LinksUpToDate>false</LinksUpToDate>
  <CharactersWithSpaces>3204</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2023-11-06T18:35:00Z</dcterms:created>
  <dc:creator>胡 智文</dc:creator>
  <cp:lastModifiedBy>HSTM</cp:lastModifiedBy>
  <dcterms:modified xsi:type="dcterms:W3CDTF">2025-06-18T03:02:24Z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2025-04-14T11:34:17Z</vt:filetime>
  </property>
  <property fmtid="{D5CDD505-2E9C-101B-9397-08002B2CF9AE}" pid="4" name="KSOTemplateDocerSaveRecord">
    <vt:lpwstr>eyJoZGlkIjoiZDU2MTdiYzU0ZWE0NGE2NTFmZWNiMDJkOTM0ZmUxZWEiLCJ1c2VySWQiOiIyNDEzODA2MTUifQ==</vt:lpwstr>
  </property>
  <property fmtid="{D5CDD505-2E9C-101B-9397-08002B2CF9AE}" pid="5" name="KSOProductBuildVer">
    <vt:lpwstr>2052-12.1.0.21541</vt:lpwstr>
  </property>
  <property fmtid="{D5CDD505-2E9C-101B-9397-08002B2CF9AE}" pid="6" name="ICV">
    <vt:lpwstr>2342852F2388416889FF5CF714B41119</vt:lpwstr>
  </property>
</Properties>
</file>